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30" w:rsidRPr="00C676E5" w:rsidRDefault="007C2B30" w:rsidP="00C676E5">
      <w:pPr>
        <w:jc w:val="center"/>
        <w:rPr>
          <w:b/>
          <w:caps/>
          <w:sz w:val="18"/>
          <w:szCs w:val="18"/>
        </w:rPr>
      </w:pPr>
      <w:r w:rsidRPr="00C676E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2736215</wp:posOffset>
            </wp:positionH>
            <wp:positionV relativeFrom="page">
              <wp:posOffset>635635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B30" w:rsidRPr="00C676E5" w:rsidRDefault="007C2B30" w:rsidP="00C676E5">
      <w:pPr>
        <w:jc w:val="center"/>
        <w:rPr>
          <w:b/>
          <w:caps/>
          <w:sz w:val="18"/>
          <w:szCs w:val="18"/>
        </w:rPr>
      </w:pPr>
    </w:p>
    <w:p w:rsidR="007C2B30" w:rsidRPr="00C676E5" w:rsidRDefault="007C2B30" w:rsidP="00C676E5">
      <w:pPr>
        <w:jc w:val="center"/>
        <w:rPr>
          <w:b/>
          <w:caps/>
          <w:sz w:val="18"/>
          <w:szCs w:val="18"/>
        </w:rPr>
      </w:pPr>
      <w:r w:rsidRPr="00C676E5">
        <w:rPr>
          <w:b/>
          <w:caps/>
          <w:sz w:val="18"/>
          <w:szCs w:val="18"/>
        </w:rPr>
        <w:t>в</w:t>
      </w:r>
    </w:p>
    <w:p w:rsidR="007C2B30" w:rsidRPr="00C676E5" w:rsidRDefault="007C2B30" w:rsidP="00C676E5">
      <w:pPr>
        <w:jc w:val="center"/>
        <w:rPr>
          <w:b/>
          <w:sz w:val="18"/>
          <w:szCs w:val="18"/>
        </w:rPr>
      </w:pPr>
    </w:p>
    <w:p w:rsidR="007C2B30" w:rsidRPr="00C676E5" w:rsidRDefault="007C2B30" w:rsidP="00C676E5">
      <w:pPr>
        <w:jc w:val="center"/>
        <w:rPr>
          <w:b/>
          <w:sz w:val="44"/>
          <w:szCs w:val="44"/>
        </w:rPr>
      </w:pPr>
    </w:p>
    <w:p w:rsidR="007C2B30" w:rsidRPr="00C676E5" w:rsidRDefault="007C2B30" w:rsidP="00C676E5">
      <w:pPr>
        <w:jc w:val="center"/>
        <w:rPr>
          <w:b/>
          <w:sz w:val="44"/>
          <w:szCs w:val="44"/>
        </w:rPr>
      </w:pPr>
      <w:r w:rsidRPr="00C676E5">
        <w:rPr>
          <w:b/>
          <w:sz w:val="44"/>
          <w:szCs w:val="44"/>
        </w:rPr>
        <w:t>Администрация городского округа Пущино</w:t>
      </w:r>
    </w:p>
    <w:p w:rsidR="007C2B30" w:rsidRPr="00C676E5" w:rsidRDefault="007C2B30" w:rsidP="00C676E5">
      <w:pPr>
        <w:jc w:val="center"/>
        <w:rPr>
          <w:sz w:val="44"/>
          <w:szCs w:val="44"/>
        </w:rPr>
      </w:pPr>
    </w:p>
    <w:p w:rsidR="007C2B30" w:rsidRPr="00C676E5" w:rsidRDefault="007C2B30" w:rsidP="00C676E5">
      <w:pPr>
        <w:jc w:val="center"/>
        <w:rPr>
          <w:b/>
          <w:sz w:val="44"/>
          <w:szCs w:val="44"/>
        </w:rPr>
      </w:pPr>
      <w:r w:rsidRPr="00C676E5">
        <w:rPr>
          <w:b/>
          <w:sz w:val="44"/>
          <w:szCs w:val="44"/>
        </w:rPr>
        <w:t>П О С Т А Н О В Л Е Н И Е</w:t>
      </w:r>
    </w:p>
    <w:p w:rsidR="007C2B30" w:rsidRPr="00C676E5" w:rsidRDefault="007C2B30" w:rsidP="00C676E5">
      <w:pPr>
        <w:jc w:val="center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952"/>
        <w:gridCol w:w="1260"/>
      </w:tblGrid>
      <w:tr w:rsidR="007C2B30" w:rsidRPr="00C676E5" w:rsidTr="00433B7B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B30" w:rsidRPr="00C676E5" w:rsidRDefault="007C2B30" w:rsidP="00C676E5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7C2B30" w:rsidRPr="00C676E5" w:rsidRDefault="007C2B30" w:rsidP="00C676E5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b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C2B30" w:rsidRPr="00C676E5" w:rsidRDefault="007C2B30" w:rsidP="00C676E5">
            <w:pPr>
              <w:overflowPunct w:val="0"/>
              <w:autoSpaceDE w:val="0"/>
              <w:autoSpaceDN w:val="0"/>
              <w:adjustRightInd w:val="0"/>
              <w:ind w:left="570" w:hanging="360"/>
              <w:jc w:val="both"/>
              <w:rPr>
                <w:b/>
              </w:rPr>
            </w:pPr>
            <w:r w:rsidRPr="00C676E5">
              <w:rPr>
                <w:b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B30" w:rsidRPr="00C676E5" w:rsidRDefault="007C2B30" w:rsidP="00C676E5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</w:rPr>
            </w:pPr>
            <w:r w:rsidRPr="00C676E5">
              <w:rPr>
                <w:b/>
              </w:rPr>
              <w:t xml:space="preserve"> </w:t>
            </w:r>
          </w:p>
        </w:tc>
      </w:tr>
    </w:tbl>
    <w:p w:rsidR="007C2B30" w:rsidRPr="00C676E5" w:rsidRDefault="007C2B30" w:rsidP="00C676E5">
      <w:pPr>
        <w:jc w:val="center"/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  <w:r w:rsidRPr="00C676E5">
        <w:rPr>
          <w:sz w:val="24"/>
          <w:szCs w:val="24"/>
        </w:rPr>
        <w:t>г. Пущино</w:t>
      </w:r>
    </w:p>
    <w:p w:rsidR="00082F42" w:rsidRPr="00C676E5" w:rsidRDefault="007C2B30" w:rsidP="00C676E5">
      <w:pPr>
        <w:widowControl w:val="0"/>
        <w:jc w:val="center"/>
        <w:rPr>
          <w:rFonts w:eastAsia="BatangChe"/>
          <w:sz w:val="24"/>
          <w:szCs w:val="24"/>
        </w:rPr>
      </w:pPr>
      <w:r w:rsidRPr="00C676E5">
        <w:rPr>
          <w:rFonts w:eastAsia="BatangChe"/>
          <w:sz w:val="24"/>
          <w:szCs w:val="24"/>
        </w:rPr>
        <w:tab/>
      </w:r>
      <w:r w:rsidRPr="00C676E5">
        <w:rPr>
          <w:rFonts w:eastAsia="BatangChe"/>
          <w:sz w:val="24"/>
          <w:szCs w:val="24"/>
        </w:rPr>
        <w:tab/>
        <w:t xml:space="preserve">                                              </w:t>
      </w:r>
      <w:r w:rsidRPr="00C676E5">
        <w:rPr>
          <w:rFonts w:eastAsia="BatangChe"/>
          <w:sz w:val="24"/>
          <w:szCs w:val="24"/>
        </w:rPr>
        <w:tab/>
        <w:t xml:space="preserve">             </w:t>
      </w:r>
      <w:r w:rsidRPr="00C676E5">
        <w:rPr>
          <w:rFonts w:eastAsia="BatangChe"/>
          <w:sz w:val="24"/>
          <w:szCs w:val="24"/>
        </w:rPr>
        <w:tab/>
      </w:r>
      <w:r w:rsidRPr="00C676E5">
        <w:rPr>
          <w:rFonts w:eastAsia="BatangChe"/>
          <w:sz w:val="24"/>
          <w:szCs w:val="24"/>
        </w:rPr>
        <w:tab/>
      </w:r>
    </w:p>
    <w:p w:rsidR="007C2B30" w:rsidRPr="00C676E5" w:rsidRDefault="007C2B30" w:rsidP="00C676E5">
      <w:pPr>
        <w:widowControl w:val="0"/>
        <w:jc w:val="center"/>
        <w:rPr>
          <w:sz w:val="24"/>
          <w:szCs w:val="24"/>
        </w:rPr>
      </w:pPr>
      <w:r w:rsidRPr="00C676E5">
        <w:rPr>
          <w:sz w:val="24"/>
          <w:szCs w:val="24"/>
        </w:rPr>
        <w:t>Об утверждении муниципальной программы</w:t>
      </w:r>
    </w:p>
    <w:p w:rsidR="007C2B30" w:rsidRPr="00C676E5" w:rsidRDefault="007C2B30" w:rsidP="00C676E5">
      <w:pPr>
        <w:jc w:val="center"/>
        <w:rPr>
          <w:sz w:val="24"/>
          <w:szCs w:val="24"/>
        </w:rPr>
      </w:pPr>
      <w:r w:rsidRPr="00C676E5">
        <w:rPr>
          <w:sz w:val="24"/>
          <w:szCs w:val="24"/>
        </w:rPr>
        <w:t>«Здравоохранение» на 2023-2027 годы</w:t>
      </w:r>
    </w:p>
    <w:p w:rsidR="000D4F7E" w:rsidRPr="00C676E5" w:rsidRDefault="000D4F7E" w:rsidP="00C676E5">
      <w:pPr>
        <w:jc w:val="center"/>
        <w:rPr>
          <w:sz w:val="24"/>
          <w:szCs w:val="24"/>
        </w:rPr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865975" w:rsidRPr="00C676E5" w:rsidRDefault="00865975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В соответствии с Бюджетным кодексом Россий</w:t>
      </w:r>
      <w:r w:rsidR="00D275C2" w:rsidRPr="00C676E5">
        <w:rPr>
          <w:rFonts w:eastAsia="Times New Roman"/>
          <w:sz w:val="24"/>
          <w:szCs w:val="24"/>
          <w:lang w:eastAsia="ru-RU"/>
        </w:rPr>
        <w:t>ской Федерации, постановлением администрации городского округа</w:t>
      </w:r>
      <w:r w:rsidRPr="00C676E5">
        <w:rPr>
          <w:rFonts w:eastAsia="Times New Roman"/>
          <w:sz w:val="24"/>
          <w:szCs w:val="24"/>
          <w:lang w:eastAsia="ru-RU"/>
        </w:rPr>
        <w:t xml:space="preserve"> Пущино от 29.12.2022 № 976-п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30.12.2022 № 990-п «Об утверждении Перечня муниципальных программ городского округа Пущино</w:t>
      </w:r>
      <w:r w:rsidR="00D275C2" w:rsidRPr="00C676E5">
        <w:rPr>
          <w:rFonts w:eastAsia="Times New Roman"/>
          <w:sz w:val="24"/>
          <w:szCs w:val="24"/>
          <w:lang w:eastAsia="ru-RU"/>
        </w:rPr>
        <w:t xml:space="preserve"> Московской области</w:t>
      </w:r>
      <w:r w:rsidRPr="00C676E5">
        <w:rPr>
          <w:rFonts w:eastAsia="Times New Roman"/>
          <w:sz w:val="24"/>
          <w:szCs w:val="24"/>
          <w:lang w:eastAsia="ru-RU"/>
        </w:rPr>
        <w:t>»,</w:t>
      </w:r>
    </w:p>
    <w:p w:rsidR="00084470" w:rsidRPr="00C676E5" w:rsidRDefault="00084470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5975" w:rsidRPr="00C676E5" w:rsidRDefault="00865975" w:rsidP="00C676E5">
      <w:pPr>
        <w:ind w:firstLine="709"/>
        <w:jc w:val="center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ПОСТАНОВЛЯЮ:</w:t>
      </w:r>
    </w:p>
    <w:p w:rsidR="00865975" w:rsidRPr="00C676E5" w:rsidRDefault="00865975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865975" w:rsidRPr="00C676E5" w:rsidRDefault="00865975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1. Утвердить прилагаемую муниципальную программу «Здравоохранение» на 2023-2027 годы.</w:t>
      </w:r>
    </w:p>
    <w:p w:rsidR="00865975" w:rsidRPr="00C676E5" w:rsidRDefault="00A15811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2.</w:t>
      </w:r>
      <w:r w:rsidR="00210D78" w:rsidRPr="00C676E5">
        <w:rPr>
          <w:rFonts w:eastAsia="Times New Roman"/>
          <w:sz w:val="24"/>
          <w:szCs w:val="24"/>
          <w:lang w:eastAsia="ru-RU"/>
        </w:rPr>
        <w:t xml:space="preserve"> </w:t>
      </w:r>
      <w:r w:rsidR="00084470" w:rsidRPr="00C676E5">
        <w:rPr>
          <w:sz w:val="24"/>
          <w:szCs w:val="24"/>
        </w:rPr>
        <w:t xml:space="preserve">Досрочно прекратить реализацию муниципальной программы «Здравоохранение» на 2020-2024 годы, утвержденной постановлением администрации городского округа Пущино от </w:t>
      </w:r>
      <w:r w:rsidR="008D69FA" w:rsidRPr="00C676E5">
        <w:rPr>
          <w:sz w:val="24"/>
          <w:szCs w:val="24"/>
        </w:rPr>
        <w:t>30</w:t>
      </w:r>
      <w:r w:rsidR="00084470" w:rsidRPr="00C676E5">
        <w:rPr>
          <w:sz w:val="24"/>
          <w:szCs w:val="24"/>
        </w:rPr>
        <w:t>.12.2019 № 5</w:t>
      </w:r>
      <w:r w:rsidR="008D69FA" w:rsidRPr="00C676E5">
        <w:rPr>
          <w:sz w:val="24"/>
          <w:szCs w:val="24"/>
        </w:rPr>
        <w:t>7</w:t>
      </w:r>
      <w:r w:rsidR="00084470" w:rsidRPr="00C676E5">
        <w:rPr>
          <w:sz w:val="24"/>
          <w:szCs w:val="24"/>
        </w:rPr>
        <w:t>0-п</w:t>
      </w:r>
      <w:r w:rsidR="002576CE">
        <w:rPr>
          <w:sz w:val="24"/>
          <w:szCs w:val="24"/>
        </w:rPr>
        <w:t xml:space="preserve"> </w:t>
      </w:r>
      <w:r w:rsidR="00084470" w:rsidRPr="00C676E5">
        <w:rPr>
          <w:sz w:val="24"/>
          <w:szCs w:val="24"/>
        </w:rPr>
        <w:t>(</w:t>
      </w:r>
      <w:r w:rsidR="008D69FA" w:rsidRPr="00C676E5">
        <w:rPr>
          <w:sz w:val="24"/>
          <w:szCs w:val="24"/>
        </w:rPr>
        <w:t>в ред. от 11.02.2021 № 60-п, от 12.08.2021 № 375-п, от 09.03.2022 № 98-п</w:t>
      </w:r>
      <w:r w:rsidR="00084470" w:rsidRPr="00C676E5">
        <w:rPr>
          <w:sz w:val="24"/>
          <w:szCs w:val="24"/>
        </w:rPr>
        <w:t>).</w:t>
      </w:r>
      <w:r w:rsidR="00084470" w:rsidRPr="00C676E5">
        <w:rPr>
          <w:rFonts w:eastAsia="Times New Roman"/>
          <w:sz w:val="24"/>
          <w:szCs w:val="24"/>
          <w:lang w:eastAsia="ru-RU"/>
        </w:rPr>
        <w:t xml:space="preserve"> </w:t>
      </w:r>
    </w:p>
    <w:p w:rsidR="00084470" w:rsidRPr="00C676E5" w:rsidRDefault="00865975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 xml:space="preserve">3. </w:t>
      </w:r>
      <w:r w:rsidR="00084470" w:rsidRPr="00C676E5">
        <w:rPr>
          <w:rFonts w:eastAsia="Times New Roman"/>
          <w:sz w:val="24"/>
          <w:szCs w:val="24"/>
          <w:lang w:eastAsia="ru-RU"/>
        </w:rPr>
        <w:t xml:space="preserve">Настоящее постановление вступает в силу с </w:t>
      </w:r>
      <w:r w:rsidR="00C67049" w:rsidRPr="00C676E5">
        <w:rPr>
          <w:rFonts w:eastAsia="Times New Roman"/>
          <w:sz w:val="24"/>
          <w:szCs w:val="24"/>
          <w:lang w:eastAsia="ru-RU"/>
        </w:rPr>
        <w:t>момента подписания и распространяется на правоотношения, возникшие с 01.01.2023</w:t>
      </w:r>
      <w:r w:rsidR="00084470" w:rsidRPr="00C676E5">
        <w:rPr>
          <w:rFonts w:eastAsia="Times New Roman"/>
          <w:sz w:val="24"/>
          <w:szCs w:val="24"/>
          <w:lang w:eastAsia="ru-RU"/>
        </w:rPr>
        <w:t>.</w:t>
      </w:r>
    </w:p>
    <w:p w:rsidR="00865975" w:rsidRPr="00C676E5" w:rsidRDefault="00084470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 xml:space="preserve">4. </w:t>
      </w:r>
      <w:r w:rsidR="00865975" w:rsidRPr="00C676E5">
        <w:rPr>
          <w:rFonts w:eastAsia="Times New Roman"/>
          <w:sz w:val="24"/>
          <w:szCs w:val="24"/>
          <w:lang w:eastAsia="ru-RU"/>
        </w:rPr>
        <w:t xml:space="preserve"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</w:t>
      </w:r>
      <w:r w:rsidR="00D275C2" w:rsidRPr="00C676E5">
        <w:rPr>
          <w:rFonts w:eastAsia="Times New Roman"/>
          <w:sz w:val="24"/>
          <w:szCs w:val="24"/>
          <w:lang w:eastAsia="ru-RU"/>
        </w:rPr>
        <w:t xml:space="preserve">городского округа Пущино </w:t>
      </w:r>
      <w:r w:rsidR="00865975" w:rsidRPr="00C676E5">
        <w:rPr>
          <w:rFonts w:eastAsia="Times New Roman"/>
          <w:sz w:val="24"/>
          <w:szCs w:val="24"/>
          <w:lang w:eastAsia="ru-RU"/>
        </w:rPr>
        <w:t>«Пущинская среда» и разместить на официальном сайте администрации городского округа Пущино в сети Интернет.</w:t>
      </w:r>
    </w:p>
    <w:p w:rsidR="00865975" w:rsidRPr="00C676E5" w:rsidRDefault="00C67049" w:rsidP="00C676E5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676E5">
        <w:rPr>
          <w:rFonts w:eastAsia="Times New Roman"/>
          <w:sz w:val="24"/>
          <w:szCs w:val="24"/>
          <w:lang w:eastAsia="ru-RU"/>
        </w:rPr>
        <w:t>5</w:t>
      </w:r>
      <w:r w:rsidR="00865975" w:rsidRPr="00C676E5">
        <w:rPr>
          <w:rFonts w:eastAsia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084470" w:rsidRPr="00C676E5">
        <w:rPr>
          <w:rFonts w:eastAsia="Times New Roman"/>
          <w:sz w:val="24"/>
          <w:szCs w:val="24"/>
          <w:lang w:eastAsia="ru-RU"/>
        </w:rPr>
        <w:t xml:space="preserve">первого </w:t>
      </w:r>
      <w:r w:rsidR="00865975" w:rsidRPr="00C676E5">
        <w:rPr>
          <w:rFonts w:eastAsia="Times New Roman"/>
          <w:sz w:val="24"/>
          <w:szCs w:val="24"/>
          <w:lang w:eastAsia="ru-RU"/>
        </w:rPr>
        <w:t xml:space="preserve">заместителя главы администрации </w:t>
      </w:r>
      <w:r w:rsidR="00084470" w:rsidRPr="00C676E5">
        <w:rPr>
          <w:rFonts w:eastAsia="Times New Roman"/>
          <w:sz w:val="24"/>
          <w:szCs w:val="24"/>
          <w:lang w:eastAsia="ru-RU"/>
        </w:rPr>
        <w:t>Фомину Ю.А.</w:t>
      </w:r>
    </w:p>
    <w:p w:rsidR="007C2B30" w:rsidRPr="00C676E5" w:rsidRDefault="007C2B30" w:rsidP="00C676E5">
      <w:pPr>
        <w:ind w:firstLine="709"/>
        <w:jc w:val="both"/>
        <w:rPr>
          <w:sz w:val="24"/>
          <w:szCs w:val="24"/>
        </w:rPr>
      </w:pPr>
    </w:p>
    <w:p w:rsidR="007C2B30" w:rsidRPr="00C676E5" w:rsidRDefault="007C2B30" w:rsidP="00C676E5">
      <w:pPr>
        <w:ind w:firstLine="709"/>
        <w:jc w:val="both"/>
        <w:rPr>
          <w:rFonts w:eastAsia="BatangChe"/>
          <w:bCs/>
          <w:sz w:val="24"/>
          <w:szCs w:val="24"/>
        </w:rPr>
      </w:pPr>
    </w:p>
    <w:p w:rsidR="007C2B30" w:rsidRPr="00C676E5" w:rsidRDefault="007C2B30" w:rsidP="00C676E5">
      <w:pPr>
        <w:ind w:firstLine="709"/>
        <w:jc w:val="both"/>
        <w:rPr>
          <w:rFonts w:eastAsia="BatangChe"/>
          <w:bCs/>
          <w:sz w:val="24"/>
          <w:szCs w:val="24"/>
        </w:rPr>
      </w:pPr>
    </w:p>
    <w:p w:rsidR="007C2B30" w:rsidRPr="00C676E5" w:rsidRDefault="007C2B30" w:rsidP="00C676E5">
      <w:pPr>
        <w:pStyle w:val="2"/>
        <w:jc w:val="both"/>
        <w:rPr>
          <w:sz w:val="24"/>
          <w:szCs w:val="24"/>
        </w:rPr>
      </w:pPr>
      <w:r w:rsidRPr="00C676E5">
        <w:rPr>
          <w:sz w:val="24"/>
          <w:szCs w:val="24"/>
        </w:rPr>
        <w:t xml:space="preserve">Глава городского округа                                                         </w:t>
      </w:r>
      <w:r w:rsidR="00C676E5">
        <w:rPr>
          <w:sz w:val="24"/>
          <w:szCs w:val="24"/>
        </w:rPr>
        <w:t xml:space="preserve">                 </w:t>
      </w:r>
      <w:r w:rsidRPr="00C676E5">
        <w:rPr>
          <w:sz w:val="24"/>
          <w:szCs w:val="24"/>
        </w:rPr>
        <w:t xml:space="preserve">                  А.С. Воробьев</w:t>
      </w: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</w:p>
    <w:p w:rsidR="007C2B30" w:rsidRDefault="007C2B30" w:rsidP="00C676E5">
      <w:pPr>
        <w:jc w:val="center"/>
        <w:rPr>
          <w:sz w:val="24"/>
          <w:szCs w:val="24"/>
        </w:rPr>
      </w:pPr>
    </w:p>
    <w:p w:rsidR="00A474CE" w:rsidRPr="00C676E5" w:rsidRDefault="00A474CE" w:rsidP="00C676E5">
      <w:pPr>
        <w:jc w:val="center"/>
        <w:rPr>
          <w:sz w:val="24"/>
          <w:szCs w:val="24"/>
        </w:rPr>
      </w:pPr>
    </w:p>
    <w:p w:rsidR="007C2B30" w:rsidRPr="00C676E5" w:rsidRDefault="007C2B30" w:rsidP="00C676E5">
      <w:pPr>
        <w:jc w:val="center"/>
        <w:rPr>
          <w:sz w:val="24"/>
          <w:szCs w:val="24"/>
        </w:rPr>
      </w:pPr>
      <w:r w:rsidRPr="00C676E5">
        <w:rPr>
          <w:sz w:val="24"/>
          <w:szCs w:val="24"/>
        </w:rPr>
        <w:lastRenderedPageBreak/>
        <w:t>ЛИСТ СОГЛАСОВАНИЯ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7C2B30" w:rsidP="00C676E5">
      <w:pPr>
        <w:pStyle w:val="af"/>
        <w:numPr>
          <w:ilvl w:val="0"/>
          <w:numId w:val="6"/>
        </w:numPr>
        <w:ind w:left="0" w:firstLine="0"/>
        <w:rPr>
          <w:szCs w:val="24"/>
        </w:rPr>
      </w:pPr>
      <w:r w:rsidRPr="00C676E5">
        <w:rPr>
          <w:szCs w:val="24"/>
        </w:rPr>
        <w:t>Ведущий эксперт отдела экономики</w:t>
      </w:r>
      <w:r w:rsidRPr="00C676E5">
        <w:rPr>
          <w:szCs w:val="24"/>
        </w:rPr>
        <w:br/>
        <w:t xml:space="preserve">Фоломеева Т.А.                                                               _______________ «___» </w:t>
      </w:r>
      <w:r w:rsidR="00082F42" w:rsidRPr="00C676E5">
        <w:rPr>
          <w:szCs w:val="24"/>
        </w:rPr>
        <w:t>января</w:t>
      </w:r>
      <w:r w:rsidRPr="00C676E5">
        <w:rPr>
          <w:szCs w:val="24"/>
        </w:rPr>
        <w:t xml:space="preserve"> 202</w:t>
      </w:r>
      <w:r w:rsidR="00082F42" w:rsidRPr="00C676E5">
        <w:rPr>
          <w:szCs w:val="24"/>
        </w:rPr>
        <w:t>3</w:t>
      </w:r>
      <w:r w:rsidRPr="00C676E5">
        <w:rPr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2. Начальник отдела экономики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Малышевский А.Б.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 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3. Эксперт отдела экономики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Сайганова А.С.                                                                 _______________ «___» </w:t>
      </w:r>
      <w:r w:rsidR="00082F42" w:rsidRPr="00C676E5">
        <w:rPr>
          <w:sz w:val="24"/>
          <w:szCs w:val="24"/>
        </w:rPr>
        <w:t xml:space="preserve">января </w:t>
      </w:r>
      <w:r w:rsidRPr="00C676E5">
        <w:rPr>
          <w:sz w:val="24"/>
          <w:szCs w:val="24"/>
        </w:rPr>
        <w:t>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206E01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4</w:t>
      </w:r>
      <w:r w:rsidR="007C2B30" w:rsidRPr="00C676E5">
        <w:rPr>
          <w:sz w:val="24"/>
          <w:szCs w:val="24"/>
        </w:rPr>
        <w:t xml:space="preserve">. Начальник сектора финансового отдела 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Усманова Л.А.        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206E01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5</w:t>
      </w:r>
      <w:r w:rsidR="007C2B30" w:rsidRPr="00C676E5">
        <w:rPr>
          <w:sz w:val="24"/>
          <w:szCs w:val="24"/>
        </w:rPr>
        <w:t xml:space="preserve">. Начальник финансового отдела 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Прошина Н.Н.         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206E01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6</w:t>
      </w:r>
      <w:r w:rsidR="007C2B30" w:rsidRPr="00C676E5">
        <w:rPr>
          <w:sz w:val="24"/>
          <w:szCs w:val="24"/>
        </w:rPr>
        <w:t>. Эксперт юридического отдела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Иванова В.А.           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206E01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7</w:t>
      </w:r>
      <w:r w:rsidR="007C2B30" w:rsidRPr="00C676E5">
        <w:rPr>
          <w:sz w:val="24"/>
          <w:szCs w:val="24"/>
        </w:rPr>
        <w:t>. Начальник юридического отдела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Андреенкова Е.Г.   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206E01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8</w:t>
      </w:r>
      <w:r w:rsidR="007C2B30" w:rsidRPr="00C676E5">
        <w:rPr>
          <w:sz w:val="24"/>
          <w:szCs w:val="24"/>
        </w:rPr>
        <w:t xml:space="preserve">. Председатель Ревизионной комиссии 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Прасолова Е.Е.       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206E01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9</w:t>
      </w:r>
      <w:r w:rsidR="007C2B30" w:rsidRPr="00C676E5">
        <w:rPr>
          <w:sz w:val="24"/>
          <w:szCs w:val="24"/>
        </w:rPr>
        <w:t>. Первый заместитель главы администрации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 Фомина Ю.А.        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1</w:t>
      </w:r>
      <w:r w:rsidR="00206E01" w:rsidRPr="00C676E5">
        <w:rPr>
          <w:sz w:val="24"/>
          <w:szCs w:val="24"/>
        </w:rPr>
        <w:t>0</w:t>
      </w:r>
      <w:r w:rsidRPr="00C676E5">
        <w:rPr>
          <w:sz w:val="24"/>
          <w:szCs w:val="24"/>
        </w:rPr>
        <w:t>. Заместитель главы администрации</w:t>
      </w: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 xml:space="preserve">Хорьков А.А.                                                                   _______________ «___» </w:t>
      </w:r>
      <w:r w:rsidR="00082F42" w:rsidRPr="00C676E5">
        <w:rPr>
          <w:sz w:val="24"/>
          <w:szCs w:val="24"/>
        </w:rPr>
        <w:t>января</w:t>
      </w:r>
      <w:r w:rsidRPr="00C676E5">
        <w:rPr>
          <w:sz w:val="24"/>
          <w:szCs w:val="24"/>
        </w:rPr>
        <w:t xml:space="preserve"> 202</w:t>
      </w:r>
      <w:r w:rsidR="00082F42" w:rsidRPr="00C676E5">
        <w:rPr>
          <w:sz w:val="24"/>
          <w:szCs w:val="24"/>
        </w:rPr>
        <w:t>3</w:t>
      </w:r>
      <w:r w:rsidRPr="00C676E5">
        <w:rPr>
          <w:sz w:val="24"/>
          <w:szCs w:val="24"/>
        </w:rPr>
        <w:t xml:space="preserve"> г.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СПИСОК РАССЫЛКИ:</w:t>
      </w:r>
    </w:p>
    <w:p w:rsidR="007C2B30" w:rsidRPr="00C676E5" w:rsidRDefault="007C2B30" w:rsidP="00C676E5">
      <w:pPr>
        <w:rPr>
          <w:sz w:val="24"/>
          <w:szCs w:val="24"/>
        </w:rPr>
      </w:pPr>
    </w:p>
    <w:p w:rsidR="007C2B30" w:rsidRPr="00C676E5" w:rsidRDefault="007C2B30" w:rsidP="00C676E5">
      <w:pPr>
        <w:rPr>
          <w:sz w:val="24"/>
          <w:szCs w:val="24"/>
        </w:rPr>
      </w:pPr>
      <w:r w:rsidRPr="00C676E5">
        <w:rPr>
          <w:sz w:val="24"/>
          <w:szCs w:val="24"/>
        </w:rPr>
        <w:t>Отдел экономики – 1 экз.</w:t>
      </w:r>
    </w:p>
    <w:p w:rsidR="00225EC2" w:rsidRPr="00C676E5" w:rsidRDefault="00225EC2" w:rsidP="00C676E5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:rsidR="007C2B30" w:rsidRPr="00C676E5" w:rsidRDefault="007C2B30" w:rsidP="00C676E5">
      <w:pPr>
        <w:contextualSpacing/>
        <w:jc w:val="both"/>
        <w:rPr>
          <w:sz w:val="24"/>
          <w:szCs w:val="24"/>
        </w:rPr>
        <w:sectPr w:rsidR="007C2B30" w:rsidRPr="00C676E5" w:rsidSect="00C676E5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B4A03" w:rsidRPr="00C676E5" w:rsidRDefault="00EB4A03" w:rsidP="00C676E5">
      <w:pPr>
        <w:ind w:left="8789"/>
        <w:contextualSpacing/>
        <w:jc w:val="both"/>
        <w:rPr>
          <w:sz w:val="24"/>
          <w:szCs w:val="24"/>
        </w:rPr>
      </w:pPr>
      <w:r w:rsidRPr="00C676E5">
        <w:rPr>
          <w:sz w:val="24"/>
          <w:szCs w:val="24"/>
        </w:rPr>
        <w:lastRenderedPageBreak/>
        <w:t xml:space="preserve">Приложение № 1 к </w:t>
      </w:r>
      <w:r w:rsidR="00A040AD">
        <w:rPr>
          <w:sz w:val="24"/>
          <w:szCs w:val="24"/>
        </w:rPr>
        <w:t>п</w:t>
      </w:r>
      <w:r w:rsidR="00765211" w:rsidRPr="00C676E5">
        <w:rPr>
          <w:sz w:val="24"/>
          <w:szCs w:val="24"/>
        </w:rPr>
        <w:t>остановлению</w:t>
      </w:r>
      <w:r w:rsidRPr="00C676E5">
        <w:rPr>
          <w:rFonts w:cs="Arial"/>
          <w:bCs/>
          <w:iCs/>
          <w:sz w:val="24"/>
          <w:szCs w:val="24"/>
          <w:lang w:eastAsia="ru-RU"/>
        </w:rPr>
        <w:t xml:space="preserve"> администрации городского округа Пущино </w:t>
      </w:r>
      <w:r w:rsidRPr="00C676E5">
        <w:rPr>
          <w:sz w:val="24"/>
          <w:szCs w:val="24"/>
        </w:rPr>
        <w:t>от 29.12.2022 № 976-п</w:t>
      </w:r>
    </w:p>
    <w:p w:rsidR="000379BD" w:rsidRPr="00C676E5" w:rsidRDefault="000379BD" w:rsidP="00C676E5">
      <w:pPr>
        <w:ind w:left="8789"/>
        <w:contextualSpacing/>
        <w:jc w:val="both"/>
        <w:rPr>
          <w:sz w:val="24"/>
          <w:szCs w:val="24"/>
        </w:rPr>
      </w:pPr>
    </w:p>
    <w:p w:rsidR="000379BD" w:rsidRPr="00C676E5" w:rsidRDefault="000379BD" w:rsidP="00C676E5">
      <w:pPr>
        <w:contextualSpacing/>
        <w:jc w:val="both"/>
        <w:rPr>
          <w:rFonts w:cs="Arial"/>
          <w:bCs/>
          <w:iCs/>
          <w:sz w:val="24"/>
          <w:szCs w:val="24"/>
          <w:lang w:eastAsia="ru-RU"/>
        </w:rPr>
      </w:pPr>
    </w:p>
    <w:p w:rsidR="00EB4A03" w:rsidRPr="00C676E5" w:rsidRDefault="00EB4A03" w:rsidP="00C676E5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P359"/>
      <w:bookmarkEnd w:id="0"/>
      <w:r w:rsidRPr="00C676E5">
        <w:rPr>
          <w:rFonts w:ascii="Times New Roman" w:hAnsi="Times New Roman"/>
          <w:sz w:val="24"/>
          <w:szCs w:val="24"/>
        </w:rPr>
        <w:t xml:space="preserve">Паспорт муниципальной программы </w:t>
      </w:r>
      <w:r w:rsidR="00487790" w:rsidRPr="00C676E5">
        <w:rPr>
          <w:rFonts w:ascii="Times New Roman" w:hAnsi="Times New Roman"/>
          <w:sz w:val="24"/>
          <w:szCs w:val="24"/>
        </w:rPr>
        <w:t>«З</w:t>
      </w:r>
      <w:r w:rsidR="008D39C3" w:rsidRPr="00C676E5">
        <w:rPr>
          <w:rFonts w:ascii="Times New Roman" w:hAnsi="Times New Roman"/>
          <w:sz w:val="24"/>
          <w:szCs w:val="24"/>
        </w:rPr>
        <w:t>дравоохранение</w:t>
      </w:r>
      <w:r w:rsidR="00487790" w:rsidRPr="00C676E5">
        <w:rPr>
          <w:rFonts w:ascii="Times New Roman" w:hAnsi="Times New Roman"/>
          <w:sz w:val="24"/>
          <w:szCs w:val="24"/>
        </w:rPr>
        <w:t>» на 2023-2027 годы</w:t>
      </w:r>
    </w:p>
    <w:p w:rsidR="00EB4A03" w:rsidRPr="00C676E5" w:rsidRDefault="00EB4A03" w:rsidP="00C676E5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1701"/>
        <w:gridCol w:w="1729"/>
        <w:gridCol w:w="1729"/>
        <w:gridCol w:w="1730"/>
        <w:gridCol w:w="1729"/>
        <w:gridCol w:w="1730"/>
      </w:tblGrid>
      <w:tr w:rsidR="00EB4A03" w:rsidRPr="00C676E5" w:rsidTr="00433B7B">
        <w:tc>
          <w:tcPr>
            <w:tcW w:w="4248" w:type="dxa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Первый заместитель главы администрации Ю.А. Фомина</w:t>
            </w:r>
          </w:p>
        </w:tc>
      </w:tr>
      <w:tr w:rsidR="00EB4A03" w:rsidRPr="00C676E5" w:rsidTr="00433B7B">
        <w:tc>
          <w:tcPr>
            <w:tcW w:w="4248" w:type="dxa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EB4A03" w:rsidRPr="00C676E5" w:rsidTr="00433B7B">
        <w:trPr>
          <w:trHeight w:val="135"/>
        </w:trPr>
        <w:tc>
          <w:tcPr>
            <w:tcW w:w="4248" w:type="dxa"/>
            <w:vMerge w:val="restart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pStyle w:val="af"/>
              <w:widowControl w:val="0"/>
              <w:autoSpaceDE w:val="0"/>
              <w:autoSpaceDN w:val="0"/>
              <w:adjustRightInd w:val="0"/>
              <w:ind w:left="0"/>
              <w:rPr>
                <w:szCs w:val="24"/>
              </w:rPr>
            </w:pPr>
            <w:r w:rsidRPr="00C676E5">
              <w:rPr>
                <w:rFonts w:eastAsia="Times New Roman"/>
                <w:szCs w:val="28"/>
                <w:lang w:eastAsia="ru-RU"/>
              </w:rPr>
              <w:t xml:space="preserve"> 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</w:t>
            </w:r>
            <w:r w:rsidR="00F335DA" w:rsidRPr="00C676E5">
              <w:rPr>
                <w:rFonts w:eastAsia="Times New Roman"/>
                <w:szCs w:val="28"/>
                <w:lang w:eastAsia="ru-RU"/>
              </w:rPr>
              <w:t>ления трудоспособного возраста.</w:t>
            </w:r>
          </w:p>
        </w:tc>
      </w:tr>
      <w:tr w:rsidR="00EB4A03" w:rsidRPr="00C676E5" w:rsidTr="00433B7B">
        <w:trPr>
          <w:trHeight w:val="135"/>
        </w:trPr>
        <w:tc>
          <w:tcPr>
            <w:tcW w:w="4248" w:type="dxa"/>
            <w:vMerge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szCs w:val="28"/>
              </w:rPr>
              <w:t xml:space="preserve"> </w:t>
            </w:r>
            <w:r w:rsidRPr="00C676E5">
              <w:rPr>
                <w:rFonts w:ascii="Times New Roman" w:hAnsi="Times New Roman" w:cs="Times New Roman"/>
                <w:sz w:val="24"/>
                <w:szCs w:val="24"/>
              </w:rPr>
              <w:t>Привлечение и закрепление медицинских кадров в государственных учреждениях здравоохранения Московской области.</w:t>
            </w:r>
          </w:p>
        </w:tc>
      </w:tr>
      <w:tr w:rsidR="00EB4A03" w:rsidRPr="00C676E5" w:rsidTr="00433B7B">
        <w:trPr>
          <w:trHeight w:val="69"/>
        </w:trPr>
        <w:tc>
          <w:tcPr>
            <w:tcW w:w="4248" w:type="dxa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48" w:type="dxa"/>
            <w:gridSpan w:val="6"/>
          </w:tcPr>
          <w:p w:rsidR="00EB4A03" w:rsidRPr="00C676E5" w:rsidRDefault="00EB4A03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87790" w:rsidRPr="00C676E5" w:rsidTr="00433B7B">
        <w:trPr>
          <w:trHeight w:val="67"/>
        </w:trPr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1. Подпрограмма «</w:t>
            </w:r>
            <w:r w:rsidRPr="00C676E5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10348" w:type="dxa"/>
            <w:gridSpan w:val="6"/>
          </w:tcPr>
          <w:p w:rsidR="00487790" w:rsidRPr="00C676E5" w:rsidRDefault="00487790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487790" w:rsidRPr="00C676E5" w:rsidTr="00433B7B">
        <w:trPr>
          <w:trHeight w:val="67"/>
        </w:trPr>
        <w:tc>
          <w:tcPr>
            <w:tcW w:w="4248" w:type="dxa"/>
          </w:tcPr>
          <w:p w:rsidR="00487790" w:rsidRPr="00C676E5" w:rsidRDefault="00A474CE" w:rsidP="00A474CE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>. Подпрограмма «</w:t>
            </w:r>
            <w:r w:rsidR="00487790" w:rsidRPr="00C676E5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системы организации медицинской помощи»</w:t>
            </w:r>
          </w:p>
        </w:tc>
        <w:tc>
          <w:tcPr>
            <w:tcW w:w="10348" w:type="dxa"/>
            <w:gridSpan w:val="6"/>
          </w:tcPr>
          <w:p w:rsidR="00487790" w:rsidRPr="00C676E5" w:rsidRDefault="00487790" w:rsidP="00C676E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C676E5">
              <w:rPr>
                <w:rFonts w:eastAsia="Times New Roman"/>
                <w:sz w:val="24"/>
                <w:szCs w:val="24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487790" w:rsidRPr="00C676E5" w:rsidTr="00433B7B">
        <w:trPr>
          <w:trHeight w:val="90"/>
        </w:trPr>
        <w:tc>
          <w:tcPr>
            <w:tcW w:w="4248" w:type="dxa"/>
            <w:vMerge w:val="restart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48" w:type="dxa"/>
            <w:gridSpan w:val="6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1. «</w:t>
            </w:r>
            <w:r w:rsidRPr="00C676E5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 и формирование здорового образа жизни. Развитие первичной медико-санитарной помощи», проведение профилактических медицинских осмотров, диспансеризация взрослого населения, проведение профилактического консультирования в ходе диспансеризации населения и плановых профилактических осмотров.</w:t>
            </w:r>
          </w:p>
        </w:tc>
      </w:tr>
      <w:tr w:rsidR="00487790" w:rsidRPr="00C676E5" w:rsidTr="00433B7B">
        <w:trPr>
          <w:trHeight w:val="90"/>
        </w:trPr>
        <w:tc>
          <w:tcPr>
            <w:tcW w:w="4248" w:type="dxa"/>
            <w:vMerge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487790" w:rsidRPr="00C676E5" w:rsidRDefault="00A474CE" w:rsidP="00A474CE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>. «</w:t>
            </w:r>
            <w:r w:rsidR="00487790" w:rsidRPr="00C676E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системы организации медицинской помощи» осуществляется гарантированное </w:t>
            </w:r>
            <w:r w:rsidR="009E37ED" w:rsidRPr="00C676E5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медицинской помощи жителям городского округа Пущино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E37ED" w:rsidRPr="00C676E5">
              <w:rPr>
                <w:rFonts w:ascii="Times New Roman" w:hAnsi="Times New Roman" w:cs="Times New Roman"/>
                <w:sz w:val="24"/>
                <w:szCs w:val="24"/>
              </w:rPr>
              <w:t>, привлечение и закрепление медицинских работников в государственные учреждения здравоохранения путем реализации мер социальной поддержки медицинским работникам.</w:t>
            </w:r>
          </w:p>
        </w:tc>
      </w:tr>
      <w:tr w:rsidR="00487790" w:rsidRPr="00C676E5" w:rsidTr="00433B7B">
        <w:trPr>
          <w:trHeight w:val="1104"/>
        </w:trPr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</w:t>
            </w:r>
            <w:r w:rsidR="001C2CBB" w:rsidRPr="00C676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76E5">
              <w:rPr>
                <w:rFonts w:ascii="Times New Roman" w:hAnsi="Times New Roman"/>
                <w:sz w:val="24"/>
                <w:szCs w:val="24"/>
              </w:rPr>
              <w:t>руб.):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29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2</w:t>
            </w:r>
            <w:r w:rsidR="00A22889" w:rsidRPr="00C676E5">
              <w:rPr>
                <w:rFonts w:ascii="Times New Roman" w:hAnsi="Times New Roman"/>
                <w:sz w:val="24"/>
                <w:szCs w:val="24"/>
                <w:lang w:val="en-US"/>
              </w:rPr>
              <w:t>024</w:t>
            </w:r>
            <w:r w:rsidRPr="00C676E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0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2025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29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2026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730" w:type="dxa"/>
          </w:tcPr>
          <w:p w:rsidR="00487790" w:rsidRPr="00C676E5" w:rsidRDefault="00A22889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  <w:lang w:val="en-US"/>
              </w:rPr>
              <w:t>2027</w:t>
            </w:r>
            <w:r w:rsidR="00487790" w:rsidRPr="00C676E5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7790" w:rsidRPr="00C676E5" w:rsidTr="00433B7B">
        <w:tc>
          <w:tcPr>
            <w:tcW w:w="4248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01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87790" w:rsidRPr="00C676E5" w:rsidRDefault="00487790" w:rsidP="00C676E5">
            <w:pPr>
              <w:pStyle w:val="ConsPlusNormal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676E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B4A03" w:rsidRPr="00C676E5" w:rsidRDefault="00EB4A03" w:rsidP="00C676E5">
      <w:pPr>
        <w:pStyle w:val="ConsPlusNormal"/>
        <w:contextualSpacing/>
        <w:jc w:val="both"/>
        <w:rPr>
          <w:rFonts w:ascii="Times New Roman" w:hAnsi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2B61A1" w:rsidRPr="00C676E5" w:rsidSect="00C676E5">
          <w:pgSz w:w="16838" w:h="11906" w:orient="landscape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F26431" w:rsidRPr="00C676E5" w:rsidRDefault="009E37ED" w:rsidP="00C676E5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8C19E9" w:rsidRPr="00C676E5">
        <w:rPr>
          <w:rFonts w:ascii="Times New Roman" w:hAnsi="Times New Roman" w:cs="Times New Roman"/>
          <w:sz w:val="24"/>
          <w:szCs w:val="24"/>
        </w:rPr>
        <w:t>Общая характеристика сферы реализации Программы, сод</w:t>
      </w:r>
      <w:r w:rsidR="00315E12" w:rsidRPr="00C676E5">
        <w:rPr>
          <w:rFonts w:ascii="Times New Roman" w:hAnsi="Times New Roman" w:cs="Times New Roman"/>
          <w:sz w:val="24"/>
          <w:szCs w:val="24"/>
        </w:rPr>
        <w:t xml:space="preserve">ержание проблемы и обоснование </w:t>
      </w:r>
      <w:r w:rsidR="008C19E9" w:rsidRPr="00C676E5">
        <w:rPr>
          <w:rFonts w:ascii="Times New Roman" w:hAnsi="Times New Roman" w:cs="Times New Roman"/>
          <w:sz w:val="24"/>
          <w:szCs w:val="24"/>
        </w:rPr>
        <w:t>необходимости её решения программными методами</w:t>
      </w:r>
    </w:p>
    <w:p w:rsidR="002B61A1" w:rsidRPr="00C676E5" w:rsidRDefault="002B61A1" w:rsidP="00C676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61A1" w:rsidRPr="00C676E5" w:rsidRDefault="002B61A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В Московской области реализуется комплекс мероприятий, направленных на обеспечение доступности и улучшения качества оказания медицинской помощи и снижение смертности от заболеваний, являющихся основной причиной смертности населения, включая болезни системы кровообращения, онкологические заболевания, туберкулез.</w:t>
      </w:r>
    </w:p>
    <w:p w:rsidR="009E37ED" w:rsidRPr="00C676E5" w:rsidRDefault="009E37ED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Здравоохранение городского округа Пущино 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Pr="00C676E5">
        <w:rPr>
          <w:rFonts w:ascii="Times New Roman" w:hAnsi="Times New Roman" w:cs="Times New Roman"/>
          <w:sz w:val="24"/>
          <w:szCs w:val="24"/>
        </w:rPr>
        <w:t xml:space="preserve"> представлено Федеральным Государственным автономным учреждением здравоохранения Больницей Пущинского научного центра Российской академии наук. Учреждение оказывает медицинскую помощь населению городского округа Пущино</w:t>
      </w:r>
      <w:r w:rsidR="00A474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676E5">
        <w:rPr>
          <w:rFonts w:ascii="Times New Roman" w:hAnsi="Times New Roman" w:cs="Times New Roman"/>
          <w:sz w:val="24"/>
          <w:szCs w:val="24"/>
        </w:rPr>
        <w:t xml:space="preserve"> </w:t>
      </w:r>
      <w:r w:rsidR="002B61A1" w:rsidRPr="00C676E5">
        <w:rPr>
          <w:rFonts w:ascii="Times New Roman" w:hAnsi="Times New Roman" w:cs="Times New Roman"/>
          <w:sz w:val="24"/>
          <w:szCs w:val="24"/>
        </w:rPr>
        <w:t>и близлежащих населенных пунктов</w:t>
      </w:r>
      <w:r w:rsidRPr="00C676E5">
        <w:rPr>
          <w:rFonts w:ascii="Times New Roman" w:hAnsi="Times New Roman" w:cs="Times New Roman"/>
          <w:sz w:val="24"/>
          <w:szCs w:val="24"/>
        </w:rPr>
        <w:t xml:space="preserve"> по адресу: 142290 Московская область, г. Пущино, ул. Институтская, дом 1.</w:t>
      </w:r>
    </w:p>
    <w:p w:rsidR="009E37ED" w:rsidRPr="00C676E5" w:rsidRDefault="009E37ED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гражданам неотложной или экстренной медицинской помощи в БПНЦ РАН осуществляется круглосуточно, независимо от места жительства, работы и наличия полиса обязательного медицинского страхования</w:t>
      </w:r>
      <w:r w:rsidR="00A2288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7ED" w:rsidRPr="00C676E5" w:rsidRDefault="009E37ED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начало реализации программы в коллективе трудятся </w:t>
      </w:r>
      <w:r w:rsidR="00645C7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215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врачей</w:t>
      </w:r>
      <w:r w:rsidR="00645C7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средних медицинских работников</w:t>
      </w:r>
      <w:r w:rsidR="00645C7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младших медицинских работников. </w:t>
      </w:r>
      <w:r w:rsidR="00645C7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из числа врачей и медсестер имеют высшую и первую квалификационную категорию. В </w:t>
      </w:r>
      <w:r w:rsidR="00A2288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БПНЦ РАН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работают </w:t>
      </w:r>
      <w:r w:rsidR="00645C7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человек, имеющих ученую степень: кандидат медицинских наук, доктор медицинских наук; 7 человек имеют звания: 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«Заслуженный врач РФ», «Заслуженный работник здравоохранения Московской области», «Почетный работник здравоохранения г. Пущино»,</w:t>
      </w:r>
      <w:r w:rsidR="00645C7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тличник здравоохранения</w:t>
      </w:r>
      <w:r w:rsidR="00645C7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239" w:rsidRPr="00C676E5" w:rsidRDefault="003E7F02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данной программы будут осуществляться мероприятия по созданию необходимых условий для оказания качественной медицинской помощи населению, повышению эффективности медицинских услуг, снижению смертности</w:t>
      </w:r>
      <w:r w:rsidR="0031523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профилактике, своевременному выявлению на ранних стадиях и лечению заболеваний, дающих высокий процент смертности населения.</w:t>
      </w:r>
    </w:p>
    <w:p w:rsidR="009E37ED" w:rsidRPr="00C676E5" w:rsidRDefault="009E37ED" w:rsidP="00C676E5">
      <w:pPr>
        <w:pStyle w:val="af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основных задач здравоохранения городского округа Пущино </w:t>
      </w:r>
      <w:r w:rsidR="00A47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Московской области </w:t>
      </w:r>
      <w:r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15239" w:rsidRPr="00C676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37ED" w:rsidRPr="00C676E5" w:rsidRDefault="00645C7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>обеспечение устойчивого естественного роста численности населения, повышение ожидаемой продолжительности жизни, увеличение доли граждан, ведущих здоровый образ жизни;</w:t>
      </w:r>
    </w:p>
    <w:p w:rsidR="009E37ED" w:rsidRPr="00C676E5" w:rsidRDefault="00645C7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системы мотивации граждан к </w:t>
      </w:r>
      <w:r w:rsidR="003E7F02"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соблюдению 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>здорово</w:t>
      </w:r>
      <w:r w:rsidR="003E7F02" w:rsidRPr="00C676E5">
        <w:rPr>
          <w:rFonts w:ascii="Times New Roman" w:hAnsi="Times New Roman" w:cs="Times New Roman"/>
          <w:sz w:val="24"/>
          <w:szCs w:val="24"/>
          <w:lang w:eastAsia="ru-RU"/>
        </w:rPr>
        <w:t>го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 образ</w:t>
      </w:r>
      <w:r w:rsidR="003E7F02" w:rsidRPr="00C676E5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 жизни, включая здоровое питание</w:t>
      </w:r>
      <w:r w:rsidR="003E7F02"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>и отказ от вредных привычек;</w:t>
      </w:r>
    </w:p>
    <w:p w:rsidR="009E37ED" w:rsidRPr="00C676E5" w:rsidRDefault="00645C7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>снижение смертности от болезней системы кровообращения</w:t>
      </w:r>
      <w:r w:rsidR="003E7F02" w:rsidRPr="00C676E5">
        <w:rPr>
          <w:rFonts w:ascii="Times New Roman" w:hAnsi="Times New Roman" w:cs="Times New Roman"/>
          <w:sz w:val="24"/>
          <w:szCs w:val="24"/>
          <w:lang w:eastAsia="ru-RU"/>
        </w:rPr>
        <w:t>, онкологических заболеваний.</w:t>
      </w:r>
    </w:p>
    <w:p w:rsidR="009E37ED" w:rsidRPr="00C676E5" w:rsidRDefault="0031523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>ликвидация кадрового дефицита в медицинских организациях, оказывающих первичную медико-санитарную помощь;</w:t>
      </w:r>
    </w:p>
    <w:p w:rsidR="009E37ED" w:rsidRPr="00C676E5" w:rsidRDefault="00315239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676E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E37ED" w:rsidRPr="00C676E5">
        <w:rPr>
          <w:rFonts w:ascii="Times New Roman" w:hAnsi="Times New Roman" w:cs="Times New Roman"/>
          <w:sz w:val="24"/>
          <w:szCs w:val="24"/>
          <w:lang w:eastAsia="ru-RU"/>
        </w:rPr>
        <w:t>обеспечение охвата всех граждан профилактическими медицинскими осмотрами не реже 1 раза в год;</w:t>
      </w:r>
    </w:p>
    <w:p w:rsidR="009E37ED" w:rsidRPr="00C676E5" w:rsidRDefault="00315239" w:rsidP="00C676E5">
      <w:pPr>
        <w:pStyle w:val="af"/>
        <w:ind w:left="0" w:firstLine="709"/>
        <w:jc w:val="both"/>
        <w:rPr>
          <w:szCs w:val="24"/>
          <w:lang w:eastAsia="ru-RU"/>
        </w:rPr>
      </w:pPr>
      <w:r w:rsidRPr="00C676E5">
        <w:rPr>
          <w:szCs w:val="24"/>
          <w:lang w:eastAsia="ru-RU"/>
        </w:rPr>
        <w:t xml:space="preserve">- </w:t>
      </w:r>
      <w:r w:rsidR="009E37ED" w:rsidRPr="00C676E5">
        <w:rPr>
          <w:szCs w:val="24"/>
          <w:lang w:eastAsia="ru-RU"/>
        </w:rPr>
        <w:t>обеспечение охвата всех граждан, подлежащих прохождению диспансеризации, не реже 1 раза в три года.</w:t>
      </w:r>
    </w:p>
    <w:p w:rsidR="009E37ED" w:rsidRPr="00C676E5" w:rsidRDefault="00E4216A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Развитие системы здравоохранения невозможно без принятия мер по профилактике заболеваний и патологических состояний. Ведущая роль в своевременном выявлении заболеваний принадлежит профилактическим и скрининговым осмотрам, диспансеризации населения. </w:t>
      </w:r>
      <w:r w:rsidR="009E37ED" w:rsidRPr="00C676E5">
        <w:rPr>
          <w:rFonts w:ascii="Times New Roman" w:hAnsi="Times New Roman" w:cs="Times New Roman"/>
          <w:sz w:val="24"/>
          <w:szCs w:val="24"/>
        </w:rPr>
        <w:t>Основной целью диспансеризации остается выявление неинфекционных заболеваний, являющихся основной причиной инвалидности, смертности населения, на ранней их стадии, факторов риска развития этих заболеваний, проведение профилактических, оздоровительных, реабилитационных мероприятий.</w:t>
      </w:r>
    </w:p>
    <w:p w:rsidR="009E37ED" w:rsidRPr="00C676E5" w:rsidRDefault="009E37ED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За последние годы прослеживается незначительное снижение первичной заболеваемости, заболеваемости с временной утратой трудоспособности.</w:t>
      </w:r>
    </w:p>
    <w:p w:rsidR="00A22889" w:rsidRPr="00C676E5" w:rsidRDefault="009E37ED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lastRenderedPageBreak/>
        <w:t>Развитие высоких медицинских технологий в зд</w:t>
      </w:r>
      <w:r w:rsidR="00A22889" w:rsidRPr="00C676E5">
        <w:rPr>
          <w:rFonts w:ascii="Times New Roman" w:hAnsi="Times New Roman" w:cs="Times New Roman"/>
          <w:sz w:val="24"/>
          <w:szCs w:val="24"/>
        </w:rPr>
        <w:t>равоохранении – государственная</w:t>
      </w:r>
    </w:p>
    <w:p w:rsidR="009E37ED" w:rsidRPr="00C676E5" w:rsidRDefault="00A22889" w:rsidP="00A474CE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и</w:t>
      </w:r>
      <w:r w:rsidR="009E37ED" w:rsidRPr="00C676E5">
        <w:rPr>
          <w:rFonts w:ascii="Times New Roman" w:hAnsi="Times New Roman" w:cs="Times New Roman"/>
          <w:sz w:val="24"/>
          <w:szCs w:val="24"/>
        </w:rPr>
        <w:t>деология, гарантирующая их доступность каждому гражданину Р</w:t>
      </w:r>
      <w:r w:rsidR="00992B93" w:rsidRPr="00C676E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9E37ED" w:rsidRPr="00C676E5">
        <w:rPr>
          <w:rFonts w:ascii="Times New Roman" w:hAnsi="Times New Roman" w:cs="Times New Roman"/>
          <w:sz w:val="24"/>
          <w:szCs w:val="24"/>
        </w:rPr>
        <w:t>Ф</w:t>
      </w:r>
      <w:r w:rsidR="00992B93" w:rsidRPr="00C676E5">
        <w:rPr>
          <w:rFonts w:ascii="Times New Roman" w:hAnsi="Times New Roman" w:cs="Times New Roman"/>
          <w:sz w:val="24"/>
          <w:szCs w:val="24"/>
        </w:rPr>
        <w:t>едерации</w:t>
      </w:r>
      <w:r w:rsidR="009E37ED" w:rsidRPr="00C676E5">
        <w:rPr>
          <w:rFonts w:ascii="Times New Roman" w:hAnsi="Times New Roman" w:cs="Times New Roman"/>
          <w:sz w:val="24"/>
          <w:szCs w:val="24"/>
        </w:rPr>
        <w:t>.</w:t>
      </w:r>
    </w:p>
    <w:p w:rsidR="009E37ED" w:rsidRPr="00C676E5" w:rsidRDefault="009E37ED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Для восстановительного лечения активно используется оздоровление в санаторно-курортных учреждениях. Продолжается работа по совершенствованию трёхуровневой системы обслуживания больных путём направления пациентов в учреждения второго и третьего уровня (травм центры, перинатальные центры, сердечно-сосудистые центры).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Целями муниципальной программы «Здравоохранение» на 202</w:t>
      </w:r>
      <w:r w:rsidR="00433DC1" w:rsidRPr="00C676E5">
        <w:rPr>
          <w:rFonts w:ascii="Times New Roman" w:hAnsi="Times New Roman" w:cs="Times New Roman"/>
          <w:sz w:val="24"/>
          <w:szCs w:val="24"/>
        </w:rPr>
        <w:t>3</w:t>
      </w:r>
      <w:r w:rsidRPr="00C676E5">
        <w:rPr>
          <w:rFonts w:ascii="Times New Roman" w:hAnsi="Times New Roman" w:cs="Times New Roman"/>
          <w:sz w:val="24"/>
          <w:szCs w:val="24"/>
        </w:rPr>
        <w:t>-202</w:t>
      </w:r>
      <w:r w:rsidR="00433DC1" w:rsidRPr="00C676E5">
        <w:rPr>
          <w:rFonts w:ascii="Times New Roman" w:hAnsi="Times New Roman" w:cs="Times New Roman"/>
          <w:sz w:val="24"/>
          <w:szCs w:val="24"/>
        </w:rPr>
        <w:t>7</w:t>
      </w:r>
      <w:r w:rsidRPr="00C676E5">
        <w:rPr>
          <w:rFonts w:ascii="Times New Roman" w:hAnsi="Times New Roman" w:cs="Times New Roman"/>
          <w:sz w:val="24"/>
          <w:szCs w:val="24"/>
        </w:rPr>
        <w:t xml:space="preserve"> годы (далее – Муниципальная программа) являются улучшение состояния здоровья населения, обеспечение доступности и улучшение качества оказания медицинской помощи населению городского округа Пущино</w:t>
      </w:r>
      <w:r w:rsidR="00A474CE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C676E5">
        <w:rPr>
          <w:rFonts w:ascii="Times New Roman" w:hAnsi="Times New Roman" w:cs="Times New Roman"/>
          <w:sz w:val="24"/>
          <w:szCs w:val="24"/>
        </w:rPr>
        <w:t>, повышение эффективности медицинских услуг.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Для достижения указанных целей необходимо решение следующих задач: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1. </w:t>
      </w:r>
      <w:r w:rsidR="00A474CE">
        <w:rPr>
          <w:rFonts w:ascii="Times New Roman" w:hAnsi="Times New Roman" w:cs="Times New Roman"/>
          <w:sz w:val="24"/>
          <w:szCs w:val="24"/>
        </w:rPr>
        <w:t>У</w:t>
      </w:r>
      <w:r w:rsidRPr="00C676E5">
        <w:rPr>
          <w:rFonts w:ascii="Times New Roman" w:hAnsi="Times New Roman" w:cs="Times New Roman"/>
          <w:sz w:val="24"/>
          <w:szCs w:val="24"/>
        </w:rPr>
        <w:t>величение охвата населения диспансеризаций;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2. </w:t>
      </w:r>
      <w:r w:rsidR="00A474CE">
        <w:rPr>
          <w:rFonts w:ascii="Times New Roman" w:hAnsi="Times New Roman" w:cs="Times New Roman"/>
          <w:sz w:val="24"/>
          <w:szCs w:val="24"/>
        </w:rPr>
        <w:t>У</w:t>
      </w:r>
      <w:r w:rsidRPr="00C676E5">
        <w:rPr>
          <w:rFonts w:ascii="Times New Roman" w:hAnsi="Times New Roman" w:cs="Times New Roman"/>
          <w:sz w:val="24"/>
          <w:szCs w:val="24"/>
        </w:rPr>
        <w:t>величение охвата населения профилактическим осмотром;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3. </w:t>
      </w:r>
      <w:r w:rsidR="00A474CE">
        <w:rPr>
          <w:rFonts w:ascii="Times New Roman" w:hAnsi="Times New Roman" w:cs="Times New Roman"/>
          <w:sz w:val="24"/>
          <w:szCs w:val="24"/>
        </w:rPr>
        <w:t>П</w:t>
      </w:r>
      <w:r w:rsidRPr="00C676E5">
        <w:rPr>
          <w:rFonts w:ascii="Times New Roman" w:hAnsi="Times New Roman" w:cs="Times New Roman"/>
          <w:sz w:val="24"/>
          <w:szCs w:val="24"/>
        </w:rPr>
        <w:t>роведение работы с населением по формированию культуры здорового образа жизни.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Достижение цели и решение задач программы осуществляется посредством реализации комплекса мероприятий, предусмотренных в подпрограмме 1 Профилактика заболеваний и формирование здорового образа жизни. Развитие первичной медико-санитарной помощи».</w:t>
      </w:r>
    </w:p>
    <w:p w:rsidR="00045EFF" w:rsidRPr="00C676E5" w:rsidRDefault="00045EFF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5EFF" w:rsidRPr="00C676E5" w:rsidRDefault="00045EFF" w:rsidP="00C676E5">
      <w:pPr>
        <w:pStyle w:val="af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2.1</w:t>
      </w:r>
      <w:r w:rsidR="001B7DB7">
        <w:rPr>
          <w:rFonts w:ascii="Times New Roman" w:hAnsi="Times New Roman" w:cs="Times New Roman"/>
          <w:sz w:val="24"/>
          <w:szCs w:val="24"/>
        </w:rPr>
        <w:t>.</w:t>
      </w:r>
      <w:r w:rsidRPr="00C676E5">
        <w:rPr>
          <w:rFonts w:ascii="Times New Roman" w:hAnsi="Times New Roman" w:cs="Times New Roman"/>
          <w:sz w:val="24"/>
          <w:szCs w:val="24"/>
        </w:rPr>
        <w:t xml:space="preserve"> Инерционный прогноз развития соответствующей сферы реализации </w:t>
      </w:r>
      <w:r w:rsidR="001B7DB7">
        <w:rPr>
          <w:rFonts w:ascii="Times New Roman" w:hAnsi="Times New Roman" w:cs="Times New Roman"/>
          <w:sz w:val="24"/>
          <w:szCs w:val="24"/>
        </w:rPr>
        <w:t>М</w:t>
      </w:r>
      <w:r w:rsidRPr="00C676E5">
        <w:rPr>
          <w:rFonts w:ascii="Times New Roman" w:hAnsi="Times New Roman" w:cs="Times New Roman"/>
          <w:sz w:val="24"/>
          <w:szCs w:val="24"/>
        </w:rPr>
        <w:t>униципальной программы с учетом ранее достигнутых результатов, а также предложения по решению проблем в указанной сфере</w:t>
      </w:r>
    </w:p>
    <w:p w:rsidR="00045EFF" w:rsidRPr="00C676E5" w:rsidRDefault="00045EFF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Мероприятия Муниципальной программы направлены на улучшение состояния здоровья населения в городском округе Пущино</w:t>
      </w:r>
      <w:r w:rsidR="001B7DB7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A22889" w:rsidRPr="00C676E5">
        <w:rPr>
          <w:rFonts w:ascii="Times New Roman" w:hAnsi="Times New Roman" w:cs="Times New Roman"/>
          <w:sz w:val="24"/>
          <w:szCs w:val="24"/>
        </w:rPr>
        <w:t xml:space="preserve">, </w:t>
      </w:r>
      <w:r w:rsidRPr="00C676E5">
        <w:rPr>
          <w:rFonts w:ascii="Times New Roman" w:hAnsi="Times New Roman" w:cs="Times New Roman"/>
          <w:sz w:val="24"/>
          <w:szCs w:val="24"/>
        </w:rPr>
        <w:t>пропаганду здорового образа жизни, предусматривают реализацию комплекса целенаправленных конкретных мероприятий.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В силу социального характера Муниципальной программы планируемые мероприятия позволят снизить уровень смертности населения за счет раннего выявления и профилактики.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Работа учреждения здравоохранения будет осуществляться в следующих основных направлениях:</w:t>
      </w:r>
    </w:p>
    <w:p w:rsidR="00F61E24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1. </w:t>
      </w:r>
      <w:r w:rsidR="001B7DB7">
        <w:rPr>
          <w:rFonts w:ascii="Times New Roman" w:hAnsi="Times New Roman" w:cs="Times New Roman"/>
          <w:sz w:val="24"/>
          <w:szCs w:val="24"/>
        </w:rPr>
        <w:t>П</w:t>
      </w:r>
      <w:r w:rsidRPr="00C676E5">
        <w:rPr>
          <w:rFonts w:ascii="Times New Roman" w:hAnsi="Times New Roman" w:cs="Times New Roman"/>
          <w:sz w:val="24"/>
          <w:szCs w:val="24"/>
        </w:rPr>
        <w:t>овышение качества предоставления медицинских услуг;</w:t>
      </w:r>
    </w:p>
    <w:p w:rsidR="00050449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2. </w:t>
      </w:r>
      <w:r w:rsidR="001B7DB7">
        <w:rPr>
          <w:rFonts w:ascii="Times New Roman" w:hAnsi="Times New Roman" w:cs="Times New Roman"/>
          <w:sz w:val="24"/>
          <w:szCs w:val="24"/>
        </w:rPr>
        <w:t>О</w:t>
      </w:r>
      <w:r w:rsidRPr="00C676E5">
        <w:rPr>
          <w:rFonts w:ascii="Times New Roman" w:hAnsi="Times New Roman" w:cs="Times New Roman"/>
          <w:sz w:val="24"/>
          <w:szCs w:val="24"/>
        </w:rPr>
        <w:t>беспечение профилактических осмотров с цель</w:t>
      </w:r>
      <w:r w:rsidR="00F61E24" w:rsidRPr="00C676E5">
        <w:rPr>
          <w:rFonts w:ascii="Times New Roman" w:hAnsi="Times New Roman" w:cs="Times New Roman"/>
          <w:sz w:val="24"/>
          <w:szCs w:val="24"/>
        </w:rPr>
        <w:t>ю</w:t>
      </w:r>
      <w:r w:rsidRPr="00C676E5">
        <w:rPr>
          <w:rFonts w:ascii="Times New Roman" w:hAnsi="Times New Roman" w:cs="Times New Roman"/>
          <w:sz w:val="24"/>
          <w:szCs w:val="24"/>
        </w:rPr>
        <w:t xml:space="preserve"> выявления заболеваний на ранних стадиях;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3. </w:t>
      </w:r>
      <w:r w:rsidR="001B7DB7">
        <w:rPr>
          <w:rFonts w:ascii="Times New Roman" w:hAnsi="Times New Roman" w:cs="Times New Roman"/>
          <w:sz w:val="24"/>
          <w:szCs w:val="24"/>
        </w:rPr>
        <w:t>Р</w:t>
      </w:r>
      <w:r w:rsidRPr="00C676E5">
        <w:rPr>
          <w:rFonts w:ascii="Times New Roman" w:hAnsi="Times New Roman" w:cs="Times New Roman"/>
          <w:sz w:val="24"/>
          <w:szCs w:val="24"/>
        </w:rPr>
        <w:t>абота по увеличению численности населения, охваченного диспансеризацией;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 xml:space="preserve">4. </w:t>
      </w:r>
      <w:r w:rsidR="001B7DB7">
        <w:rPr>
          <w:rFonts w:ascii="Times New Roman" w:hAnsi="Times New Roman" w:cs="Times New Roman"/>
          <w:sz w:val="24"/>
          <w:szCs w:val="24"/>
        </w:rPr>
        <w:t>У</w:t>
      </w:r>
      <w:r w:rsidRPr="00C676E5">
        <w:rPr>
          <w:rFonts w:ascii="Times New Roman" w:hAnsi="Times New Roman" w:cs="Times New Roman"/>
          <w:sz w:val="24"/>
          <w:szCs w:val="24"/>
        </w:rPr>
        <w:t>крепление материально- технической базы, обеспечивающей создание условий для осуществления предоставления медицинских услуг.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Выполнению поставленной цели и достижению показателей могут помешать риски, которые могут возникнуть в связи с определенной ситуацией: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с ухудшением экономической ситуации в Российской Федерации, Московской области;</w:t>
      </w:r>
    </w:p>
    <w:p w:rsidR="00A15811" w:rsidRPr="00C676E5" w:rsidRDefault="00A1581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676E5">
        <w:rPr>
          <w:rFonts w:ascii="Times New Roman" w:hAnsi="Times New Roman" w:cs="Times New Roman"/>
          <w:sz w:val="24"/>
          <w:szCs w:val="24"/>
        </w:rPr>
        <w:t xml:space="preserve"> текучестью кадров и недостаточным профессиональным уровнем имеющихся кадров.</w:t>
      </w:r>
    </w:p>
    <w:p w:rsidR="00A06831" w:rsidRPr="00C676E5" w:rsidRDefault="00A06831" w:rsidP="00C676E5">
      <w:pPr>
        <w:pStyle w:val="af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t>В выполнении задач, поставленных перед здравоохранением, большую роль играют кадры. БПНЦ РАН проводится работа по привлечению врачебных кадров: вакансии размещены на сайтах «Работа</w:t>
      </w:r>
      <w:r w:rsidR="005C1B3D" w:rsidRPr="00C676E5">
        <w:rPr>
          <w:rFonts w:ascii="Times New Roman" w:hAnsi="Times New Roman" w:cs="Times New Roman"/>
          <w:sz w:val="24"/>
          <w:szCs w:val="24"/>
        </w:rPr>
        <w:t xml:space="preserve"> </w:t>
      </w:r>
      <w:r w:rsidRPr="00C676E5">
        <w:rPr>
          <w:rFonts w:ascii="Times New Roman" w:hAnsi="Times New Roman" w:cs="Times New Roman"/>
          <w:sz w:val="24"/>
          <w:szCs w:val="24"/>
        </w:rPr>
        <w:t>в России» и др.</w:t>
      </w:r>
    </w:p>
    <w:p w:rsidR="000379BD" w:rsidRPr="00C676E5" w:rsidRDefault="00A06831" w:rsidP="00C676E5">
      <w:pPr>
        <w:ind w:firstLine="709"/>
        <w:jc w:val="both"/>
        <w:rPr>
          <w:sz w:val="24"/>
          <w:szCs w:val="24"/>
        </w:rPr>
      </w:pPr>
      <w:r w:rsidRPr="00C676E5">
        <w:rPr>
          <w:sz w:val="24"/>
          <w:szCs w:val="24"/>
        </w:rPr>
        <w:t>В связи с острым дефицитом врачей и медработников среднего звена решением Совета депутатов городского округа Пущино установлены компенсационные выплаты за счет средств бюджета городского округа Пущино на возмещение расходов за найм (поднайм) жилых помещений врачам и фельдшерам Федерального государственного автономного учреждения здравоохранения Больница Пущинского научного центра Российской академии наук, в размере 50 % стоимости найма (поднайма) жилого помещения, но не более 15 тыс. руб. на семью ежемесячно.</w:t>
      </w:r>
    </w:p>
    <w:p w:rsidR="005E119B" w:rsidRDefault="00A15811" w:rsidP="00C676E5">
      <w:pPr>
        <w:ind w:firstLine="709"/>
        <w:jc w:val="both"/>
        <w:rPr>
          <w:b/>
          <w:szCs w:val="24"/>
        </w:rPr>
      </w:pPr>
      <w:r w:rsidRPr="00C676E5">
        <w:rPr>
          <w:sz w:val="24"/>
          <w:szCs w:val="24"/>
        </w:rPr>
        <w:lastRenderedPageBreak/>
        <w:t xml:space="preserve">Минимизация внешних рисков возможна на основе эффективного мониторинга реализации мероприятий </w:t>
      </w:r>
      <w:r w:rsidR="001B7DB7">
        <w:rPr>
          <w:sz w:val="24"/>
          <w:szCs w:val="24"/>
        </w:rPr>
        <w:t>М</w:t>
      </w:r>
      <w:r w:rsidRPr="00C676E5">
        <w:rPr>
          <w:sz w:val="24"/>
          <w:szCs w:val="24"/>
        </w:rPr>
        <w:t>униципальной программы и принятия необходимых оперативных мероприятий.</w:t>
      </w: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Pr="005E119B" w:rsidRDefault="005E119B" w:rsidP="005E119B">
      <w:pPr>
        <w:rPr>
          <w:szCs w:val="24"/>
        </w:rPr>
      </w:pPr>
    </w:p>
    <w:p w:rsidR="005E119B" w:rsidRDefault="005E119B" w:rsidP="005E119B">
      <w:pPr>
        <w:rPr>
          <w:szCs w:val="24"/>
        </w:rPr>
      </w:pPr>
    </w:p>
    <w:p w:rsidR="005E119B" w:rsidRDefault="005E119B" w:rsidP="005E119B">
      <w:pPr>
        <w:tabs>
          <w:tab w:val="left" w:pos="6945"/>
        </w:tabs>
        <w:rPr>
          <w:szCs w:val="24"/>
        </w:rPr>
      </w:pPr>
      <w:r>
        <w:rPr>
          <w:szCs w:val="24"/>
        </w:rPr>
        <w:tab/>
      </w:r>
    </w:p>
    <w:p w:rsidR="007B2F38" w:rsidRPr="005E119B" w:rsidRDefault="005E119B" w:rsidP="005E119B">
      <w:pPr>
        <w:tabs>
          <w:tab w:val="left" w:pos="6945"/>
        </w:tabs>
        <w:rPr>
          <w:szCs w:val="24"/>
        </w:rPr>
        <w:sectPr w:rsidR="007B2F38" w:rsidRPr="005E119B" w:rsidSect="00C676E5"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4"/>
        </w:rPr>
        <w:tab/>
      </w:r>
    </w:p>
    <w:p w:rsidR="00084470" w:rsidRPr="00C676E5" w:rsidRDefault="007B2F38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C676E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32E2B" w:rsidRPr="00C676E5">
        <w:rPr>
          <w:rFonts w:ascii="Times New Roman" w:hAnsi="Times New Roman" w:cs="Times New Roman"/>
          <w:sz w:val="24"/>
          <w:szCs w:val="24"/>
        </w:rPr>
        <w:t xml:space="preserve"> Целевые значения показателей муниципальной программы</w:t>
      </w:r>
      <w:r w:rsidRPr="00C676E5">
        <w:rPr>
          <w:rFonts w:ascii="Times New Roman" w:hAnsi="Times New Roman" w:cs="Times New Roman"/>
          <w:sz w:val="24"/>
          <w:szCs w:val="24"/>
        </w:rPr>
        <w:t xml:space="preserve"> «Здравоохранение» на 2023-2027 годы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9"/>
        <w:gridCol w:w="2455"/>
        <w:gridCol w:w="1217"/>
        <w:gridCol w:w="815"/>
        <w:gridCol w:w="1476"/>
        <w:gridCol w:w="801"/>
        <w:gridCol w:w="693"/>
        <w:gridCol w:w="693"/>
        <w:gridCol w:w="696"/>
        <w:gridCol w:w="693"/>
        <w:gridCol w:w="3742"/>
      </w:tblGrid>
      <w:tr w:rsidR="009078AE" w:rsidRPr="00C676E5" w:rsidTr="00C676E5">
        <w:trPr>
          <w:trHeight w:val="422"/>
          <w:tblHeader/>
        </w:trPr>
        <w:tc>
          <w:tcPr>
            <w:tcW w:w="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№ п/п</w:t>
            </w:r>
          </w:p>
        </w:tc>
        <w:tc>
          <w:tcPr>
            <w:tcW w:w="8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9159CA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 </w:t>
            </w:r>
            <w:r w:rsidR="00830EFB" w:rsidRPr="00C676E5">
              <w:rPr>
                <w:rFonts w:eastAsia="Times New Roman"/>
                <w:sz w:val="20"/>
                <w:szCs w:val="20"/>
              </w:rPr>
              <w:t>По</w:t>
            </w:r>
            <w:r w:rsidRPr="00C676E5">
              <w:rPr>
                <w:rFonts w:eastAsia="Times New Roman"/>
                <w:sz w:val="20"/>
                <w:szCs w:val="20"/>
              </w:rPr>
              <w:t>казатели реализации муниципальной программы</w:t>
            </w:r>
          </w:p>
        </w:tc>
        <w:tc>
          <w:tcPr>
            <w:tcW w:w="4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Тип показателя</w:t>
            </w:r>
          </w:p>
        </w:tc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  <w:r w:rsidR="00680A66" w:rsidRPr="00C676E5">
              <w:rPr>
                <w:rFonts w:eastAsia="Times New Roman"/>
                <w:sz w:val="20"/>
                <w:szCs w:val="20"/>
              </w:rPr>
              <w:t>Программы 2022</w:t>
            </w:r>
            <w:r w:rsidRPr="00C676E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Номер и название основного мероприятия в перечне мероприятий подпрограммы</w:t>
            </w:r>
          </w:p>
        </w:tc>
      </w:tr>
      <w:tr w:rsidR="00522586" w:rsidRPr="00C676E5" w:rsidTr="00C676E5">
        <w:trPr>
          <w:trHeight w:val="840"/>
          <w:tblHeader/>
        </w:trPr>
        <w:tc>
          <w:tcPr>
            <w:tcW w:w="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472FC6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2023</w:t>
            </w:r>
            <w:r w:rsidR="00830EFB" w:rsidRPr="00C676E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F547D8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</w:t>
            </w:r>
            <w:r w:rsidR="00472FC6" w:rsidRPr="00C676E5">
              <w:rPr>
                <w:rFonts w:eastAsia="Times New Roman"/>
                <w:sz w:val="20"/>
                <w:szCs w:val="20"/>
              </w:rPr>
              <w:t>4</w:t>
            </w:r>
            <w:r w:rsidR="00830EFB" w:rsidRPr="00C676E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472FC6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2025</w:t>
            </w:r>
            <w:r w:rsidR="00830EFB" w:rsidRPr="00C676E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472FC6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2026</w:t>
            </w:r>
            <w:r w:rsidR="00830EFB" w:rsidRPr="00C676E5">
              <w:rPr>
                <w:rFonts w:eastAsia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F547D8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</w:t>
            </w:r>
            <w:r w:rsidR="00472FC6" w:rsidRPr="00C676E5">
              <w:rPr>
                <w:rFonts w:eastAsia="Times New Roman"/>
                <w:sz w:val="20"/>
                <w:szCs w:val="20"/>
              </w:rPr>
              <w:t>7</w:t>
            </w:r>
            <w:r w:rsidR="00830EFB" w:rsidRPr="00C676E5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28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/>
                <w:sz w:val="20"/>
                <w:szCs w:val="20"/>
              </w:rPr>
            </w:pPr>
          </w:p>
        </w:tc>
      </w:tr>
      <w:tr w:rsidR="00522586" w:rsidRPr="00C676E5" w:rsidTr="00C676E5">
        <w:trPr>
          <w:trHeight w:val="257"/>
          <w:tblHeader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38" w:type="pct"/>
            <w:tcBorders>
              <w:left w:val="single" w:sz="4" w:space="0" w:color="000000"/>
              <w:right w:val="single" w:sz="4" w:space="0" w:color="000000"/>
            </w:tcBorders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28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0EFB" w:rsidRPr="00C676E5" w:rsidRDefault="00830EFB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11</w:t>
            </w:r>
          </w:p>
        </w:tc>
      </w:tr>
      <w:tr w:rsidR="00F335DA" w:rsidRPr="00C676E5" w:rsidTr="00C676E5">
        <w:trPr>
          <w:trHeight w:val="297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561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35DA" w:rsidRPr="00C676E5" w:rsidRDefault="00F335DA" w:rsidP="00C676E5">
            <w:pPr>
              <w:pStyle w:val="af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1. Улучшение состояния здоровья населения и увеличение ожидаемой продолжительности жизни. Развитие первичной медико-санитарной помощи, путем развития системы раннего выявления заболеваний, патологических состояний и факторов риска их развития, включая проведение профилактических осмотров и диспансеризации населения трудоспособного возраста.</w:t>
            </w:r>
          </w:p>
        </w:tc>
      </w:tr>
      <w:tr w:rsidR="00F335DA" w:rsidRPr="00C676E5" w:rsidTr="00C676E5">
        <w:trPr>
          <w:trHeight w:val="203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both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Приоритетно-целевой, (Рейтинг-45)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%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23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100</w:t>
            </w:r>
          </w:p>
        </w:tc>
        <w:tc>
          <w:tcPr>
            <w:tcW w:w="128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jc w:val="both"/>
              <w:rPr>
                <w:sz w:val="20"/>
                <w:szCs w:val="20"/>
              </w:rPr>
            </w:pPr>
            <w:r w:rsidRPr="00C676E5">
              <w:rPr>
                <w:color w:val="000000"/>
                <w:sz w:val="20"/>
                <w:szCs w:val="20"/>
              </w:rPr>
              <w:t>02.01, 02.02</w:t>
            </w:r>
          </w:p>
        </w:tc>
      </w:tr>
      <w:tr w:rsidR="00F335DA" w:rsidRPr="00C676E5" w:rsidTr="00C676E5">
        <w:trPr>
          <w:trHeight w:val="393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</w:t>
            </w:r>
          </w:p>
        </w:tc>
        <w:tc>
          <w:tcPr>
            <w:tcW w:w="4561" w:type="pct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rPr>
                <w:sz w:val="20"/>
                <w:szCs w:val="20"/>
              </w:rPr>
            </w:pPr>
            <w:r w:rsidRPr="00C676E5">
              <w:rPr>
                <w:color w:val="000000"/>
                <w:sz w:val="20"/>
                <w:szCs w:val="20"/>
              </w:rPr>
              <w:t xml:space="preserve">Подпрограмма 5 </w:t>
            </w:r>
            <w:r w:rsidRPr="00C676E5">
              <w:rPr>
                <w:rFonts w:eastAsia="Times New Roman"/>
                <w:color w:val="000000"/>
                <w:sz w:val="20"/>
                <w:szCs w:val="20"/>
              </w:rPr>
              <w:t>«Финансовое обеспечение системы организации медицинской помощи»</w:t>
            </w:r>
          </w:p>
        </w:tc>
      </w:tr>
      <w:tr w:rsidR="00F335DA" w:rsidRPr="00C676E5" w:rsidTr="00C676E5">
        <w:trPr>
          <w:trHeight w:val="2870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335DA" w:rsidRPr="00C676E5" w:rsidRDefault="00F335DA" w:rsidP="00C676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676E5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Жилье – медикам, нуждающихся в обеспечении жильем</w:t>
            </w:r>
          </w:p>
        </w:tc>
        <w:tc>
          <w:tcPr>
            <w:tcW w:w="41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color w:val="000000"/>
                <w:sz w:val="20"/>
                <w:szCs w:val="20"/>
              </w:rPr>
            </w:pPr>
            <w:r w:rsidRPr="00C676E5">
              <w:rPr>
                <w:color w:val="000000"/>
                <w:sz w:val="20"/>
                <w:szCs w:val="20"/>
              </w:rPr>
              <w:t>Отраслевой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%</w:t>
            </w:r>
          </w:p>
        </w:tc>
        <w:tc>
          <w:tcPr>
            <w:tcW w:w="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38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F335DA" w:rsidP="00C676E5">
            <w:pPr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128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335DA" w:rsidRPr="00C676E5" w:rsidRDefault="00C67049" w:rsidP="00C676E5">
            <w:pPr>
              <w:ind w:firstLine="108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02.01,02.02,02.03,02.04,02.05</w:t>
            </w:r>
          </w:p>
        </w:tc>
      </w:tr>
    </w:tbl>
    <w:p w:rsidR="00BE53F4" w:rsidRPr="00C676E5" w:rsidRDefault="00BE53F4" w:rsidP="00C676E5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E119B" w:rsidRDefault="005E119B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119B" w:rsidRDefault="005E119B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119B" w:rsidRDefault="005E119B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119B" w:rsidRDefault="005E119B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E119B" w:rsidRDefault="005E119B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C26AD" w:rsidRPr="00C676E5" w:rsidRDefault="00CF7105" w:rsidP="00C676E5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D7AC4" w:rsidRPr="00C676E5">
        <w:rPr>
          <w:rFonts w:ascii="Times New Roman" w:hAnsi="Times New Roman" w:cs="Times New Roman"/>
          <w:sz w:val="24"/>
          <w:szCs w:val="24"/>
        </w:rPr>
        <w:t>М</w:t>
      </w:r>
      <w:r w:rsidR="00CC26AD" w:rsidRPr="00C676E5">
        <w:rPr>
          <w:rFonts w:ascii="Times New Roman" w:hAnsi="Times New Roman" w:cs="Times New Roman"/>
          <w:sz w:val="24"/>
          <w:szCs w:val="24"/>
        </w:rPr>
        <w:t xml:space="preserve">етодика расчета значений планируемых </w:t>
      </w:r>
      <w:r w:rsidR="00282265" w:rsidRPr="00C676E5">
        <w:rPr>
          <w:rFonts w:ascii="Times New Roman" w:hAnsi="Times New Roman" w:cs="Times New Roman"/>
          <w:sz w:val="24"/>
          <w:szCs w:val="24"/>
        </w:rPr>
        <w:t>показателей</w:t>
      </w:r>
      <w:r w:rsidR="00CC26AD" w:rsidRPr="00C676E5">
        <w:rPr>
          <w:rFonts w:ascii="Times New Roman" w:hAnsi="Times New Roman" w:cs="Times New Roman"/>
          <w:sz w:val="24"/>
          <w:szCs w:val="24"/>
        </w:rPr>
        <w:t xml:space="preserve"> </w:t>
      </w:r>
      <w:r w:rsidR="00BA61EF" w:rsidRPr="00C676E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C26AD" w:rsidRPr="00C676E5">
        <w:rPr>
          <w:rFonts w:ascii="Times New Roman" w:hAnsi="Times New Roman" w:cs="Times New Roman"/>
          <w:sz w:val="24"/>
          <w:szCs w:val="24"/>
        </w:rPr>
        <w:t>программы</w:t>
      </w:r>
      <w:r w:rsidR="006D7AC4" w:rsidRPr="00C676E5">
        <w:rPr>
          <w:rFonts w:ascii="Times New Roman" w:hAnsi="Times New Roman" w:cs="Times New Roman"/>
          <w:sz w:val="24"/>
          <w:szCs w:val="24"/>
        </w:rPr>
        <w:t xml:space="preserve"> «Здравоохранение» на 2023-2027 годы городского округа Пущино Московской области</w:t>
      </w:r>
    </w:p>
    <w:p w:rsidR="004E241B" w:rsidRPr="00C676E5" w:rsidRDefault="004E241B" w:rsidP="00C676E5">
      <w:pPr>
        <w:pStyle w:val="ConsPlusNormal"/>
        <w:ind w:firstLine="539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6"/>
        <w:gridCol w:w="2751"/>
        <w:gridCol w:w="1263"/>
        <w:gridCol w:w="3614"/>
        <w:gridCol w:w="3363"/>
        <w:gridCol w:w="2533"/>
      </w:tblGrid>
      <w:tr w:rsidR="004B50B1" w:rsidRPr="00C676E5" w:rsidTr="00C676E5">
        <w:trPr>
          <w:trHeight w:val="558"/>
          <w:tblHeader/>
        </w:trPr>
        <w:tc>
          <w:tcPr>
            <w:tcW w:w="35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№</w:t>
            </w:r>
            <w:r w:rsidR="00C015A9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94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34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41" w:type="pct"/>
            <w:vAlign w:val="center"/>
          </w:tcPr>
          <w:p w:rsidR="004B50B1" w:rsidRPr="00C676E5" w:rsidRDefault="00101400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15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Источник данных</w:t>
            </w:r>
          </w:p>
        </w:tc>
        <w:tc>
          <w:tcPr>
            <w:tcW w:w="869" w:type="pct"/>
            <w:tcBorders>
              <w:right w:val="single" w:sz="4" w:space="0" w:color="auto"/>
            </w:tcBorders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4B50B1" w:rsidRPr="00C676E5" w:rsidTr="008129E0">
        <w:trPr>
          <w:trHeight w:val="28"/>
          <w:tblHeader/>
        </w:trPr>
        <w:tc>
          <w:tcPr>
            <w:tcW w:w="355" w:type="pct"/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45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34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241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155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869" w:type="pct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6</w:t>
            </w:r>
          </w:p>
        </w:tc>
      </w:tr>
      <w:tr w:rsidR="004B50B1" w:rsidRPr="00C676E5" w:rsidTr="008129E0">
        <w:trPr>
          <w:trHeight w:val="297"/>
        </w:trPr>
        <w:tc>
          <w:tcPr>
            <w:tcW w:w="355" w:type="pct"/>
            <w:tcBorders>
              <w:right w:val="single" w:sz="4" w:space="0" w:color="auto"/>
            </w:tcBorders>
            <w:vAlign w:val="center"/>
          </w:tcPr>
          <w:p w:rsidR="004B50B1" w:rsidRPr="00C676E5" w:rsidRDefault="004B50B1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4645" w:type="pct"/>
            <w:gridSpan w:val="5"/>
            <w:tcBorders>
              <w:right w:val="single" w:sz="4" w:space="0" w:color="auto"/>
            </w:tcBorders>
            <w:vAlign w:val="center"/>
          </w:tcPr>
          <w:p w:rsidR="004B50B1" w:rsidRPr="00C676E5" w:rsidRDefault="00C015A9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  <w:r w:rsidR="00EC5E03" w:rsidRPr="00C676E5">
              <w:rPr>
                <w:rFonts w:eastAsia="Times New Roman"/>
                <w:sz w:val="20"/>
                <w:szCs w:val="24"/>
                <w:lang w:eastAsia="ru-RU"/>
              </w:rPr>
              <w:t>»</w:t>
            </w:r>
          </w:p>
        </w:tc>
      </w:tr>
      <w:tr w:rsidR="00733DEF" w:rsidRPr="00C676E5" w:rsidTr="008129E0">
        <w:trPr>
          <w:trHeight w:val="250"/>
        </w:trPr>
        <w:tc>
          <w:tcPr>
            <w:tcW w:w="355" w:type="pct"/>
            <w:vAlign w:val="center"/>
          </w:tcPr>
          <w:p w:rsidR="00733DEF" w:rsidRPr="00C676E5" w:rsidRDefault="00FD5FE3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45" w:type="pct"/>
            <w:vAlign w:val="center"/>
          </w:tcPr>
          <w:p w:rsidR="00733DEF" w:rsidRPr="00C676E5" w:rsidRDefault="00282265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Диспансеризация определенных групп взрослого населения Московской области</w:t>
            </w:r>
          </w:p>
        </w:tc>
        <w:tc>
          <w:tcPr>
            <w:tcW w:w="434" w:type="pct"/>
            <w:vAlign w:val="center"/>
          </w:tcPr>
          <w:p w:rsidR="00733DEF" w:rsidRPr="00C676E5" w:rsidRDefault="00D30AB8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1" w:type="pct"/>
            <w:vAlign w:val="center"/>
          </w:tcPr>
          <w:p w:rsidR="00282265" w:rsidRPr="00C676E5" w:rsidRDefault="00282265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Показатель определяется как выраженное в процентах отношение численности населения, прошедшего диспансеризацию в отчетном периоде, к общему числу граждан в возрасте 18 лет и старше, подлежащих диспансеризации в 2023 году, которое, согласно целевому показателю №</w:t>
            </w:r>
            <w:r w:rsidR="00DE2955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36 «Доля граждан, ежегодно проходящих профилактический медицинский осмотр и (или) диспансеризацию, от общего числа населения» Государственной программы Московской области «Здравоохранение Подмосковья на 20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23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- 20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27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годы», утвержденной Постановлением Правительства Московской области от 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04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.10.20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22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№ 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1058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/3</w:t>
            </w:r>
            <w:r w:rsidR="00A040AD">
              <w:rPr>
                <w:rFonts w:eastAsia="Times New Roman"/>
                <w:sz w:val="20"/>
                <w:szCs w:val="24"/>
                <w:lang w:eastAsia="ru-RU"/>
              </w:rPr>
              <w:t>5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, составляет 59% от числа людей, относящихся к определенным группам взрослого населения Московской области из общего числа 61,9 % общего числа населения.</w:t>
            </w:r>
          </w:p>
          <w:p w:rsidR="00084470" w:rsidRPr="00C676E5" w:rsidRDefault="00282265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Показатель считается с начала отчётного года нарастающим итогом. Показатель считается выполненным, если его значение составило: за 3 мес. — 5%; за 6 мес. — 40%; за 9 мес. — 80% и за год — 100%.</w:t>
            </w:r>
          </w:p>
          <w:p w:rsidR="00F65891" w:rsidRPr="00C676E5" w:rsidRDefault="00F65891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Рассчитывается по формуле: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Ди =Дп/Дпд * 100%,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где: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Ди — исполнение профилактических медицинских осмотров и диспансеризации определённых групп взрослого населения,</w:t>
            </w:r>
          </w:p>
          <w:p w:rsidR="00282265" w:rsidRPr="00C676E5" w:rsidRDefault="00282265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Дп — численность населения, прошедшего профилактические медицинские осмотры и диспансеризацию в отчетном периоде, человек.</w:t>
            </w:r>
          </w:p>
          <w:p w:rsidR="00F65891" w:rsidRPr="00C676E5" w:rsidRDefault="00282265" w:rsidP="00CF710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Дпд — общее число граждан в возрасте 18 лет и старше, подлежащих диспансеризации в 2023 </w:t>
            </w:r>
            <w:r w:rsidR="00CF7105">
              <w:rPr>
                <w:rFonts w:eastAsia="Times New Roman"/>
                <w:sz w:val="20"/>
                <w:szCs w:val="24"/>
                <w:lang w:eastAsia="ru-RU"/>
              </w:rPr>
              <w:t>и последующих годах.</w:t>
            </w:r>
          </w:p>
        </w:tc>
        <w:tc>
          <w:tcPr>
            <w:tcW w:w="1155" w:type="pct"/>
          </w:tcPr>
          <w:p w:rsidR="00733DEF" w:rsidRPr="00C676E5" w:rsidRDefault="00235CA5" w:rsidP="00DE295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>Данные формы статистической отчетности № 131/о «Сведения о проведении профилактического медицинского осмотра и диспансеризации определенных групп взрослого населения», утвержденная приказом Министерства здравоохранения России от 10.11.2020 № 1207н «Об утверждении учетной формы медицинской документации N 131/у Карта учета профилактического медицинского осмотра (диспансеризации)» (далее – Приказ № 1207н)</w:t>
            </w:r>
          </w:p>
        </w:tc>
        <w:tc>
          <w:tcPr>
            <w:tcW w:w="869" w:type="pct"/>
            <w:tcBorders>
              <w:right w:val="single" w:sz="4" w:space="0" w:color="auto"/>
            </w:tcBorders>
            <w:vAlign w:val="center"/>
          </w:tcPr>
          <w:p w:rsidR="00AE505C" w:rsidRPr="00C676E5" w:rsidRDefault="00AE505C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Ежеквартально</w:t>
            </w:r>
          </w:p>
          <w:p w:rsidR="00733DEF" w:rsidRPr="00C676E5" w:rsidRDefault="00AE505C" w:rsidP="00C676E5">
            <w:pPr>
              <w:jc w:val="both"/>
              <w:rPr>
                <w:rFonts w:eastAsia="Times New Roman"/>
                <w:color w:val="FF0000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(Не позднее 3 рабочих дней месяца, следующего за отчетным, предоставляется в регламентный срок, непредставление информации оценивается нулевым значением)</w:t>
            </w:r>
          </w:p>
        </w:tc>
      </w:tr>
      <w:tr w:rsidR="001120CE" w:rsidRPr="00C676E5" w:rsidTr="008129E0">
        <w:trPr>
          <w:trHeight w:val="250"/>
        </w:trPr>
        <w:tc>
          <w:tcPr>
            <w:tcW w:w="355" w:type="pct"/>
            <w:vAlign w:val="center"/>
          </w:tcPr>
          <w:p w:rsidR="001120CE" w:rsidRPr="00C676E5" w:rsidRDefault="001120CE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</w:p>
        </w:tc>
        <w:tc>
          <w:tcPr>
            <w:tcW w:w="4645" w:type="pct"/>
            <w:gridSpan w:val="5"/>
            <w:tcBorders>
              <w:right w:val="single" w:sz="4" w:space="0" w:color="auto"/>
            </w:tcBorders>
            <w:vAlign w:val="center"/>
          </w:tcPr>
          <w:p w:rsidR="001120CE" w:rsidRPr="00C676E5" w:rsidRDefault="001120CE" w:rsidP="00C676E5">
            <w:pPr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color w:val="000000"/>
                <w:sz w:val="20"/>
                <w:szCs w:val="24"/>
              </w:rPr>
              <w:t xml:space="preserve">Подпрограмма 5 </w:t>
            </w:r>
            <w:r w:rsidRPr="00C676E5">
              <w:rPr>
                <w:rFonts w:eastAsia="Times New Roman"/>
                <w:color w:val="000000"/>
                <w:sz w:val="20"/>
                <w:szCs w:val="24"/>
              </w:rPr>
              <w:t>«Финансовое обеспечение системы организации медицинской помощи»</w:t>
            </w:r>
          </w:p>
        </w:tc>
      </w:tr>
      <w:tr w:rsidR="001120CE" w:rsidRPr="00C676E5" w:rsidTr="008129E0">
        <w:trPr>
          <w:trHeight w:val="250"/>
        </w:trPr>
        <w:tc>
          <w:tcPr>
            <w:tcW w:w="355" w:type="pct"/>
            <w:vAlign w:val="center"/>
          </w:tcPr>
          <w:p w:rsidR="001120CE" w:rsidRPr="00C676E5" w:rsidRDefault="00680A66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945" w:type="pct"/>
            <w:vAlign w:val="center"/>
          </w:tcPr>
          <w:p w:rsidR="001120CE" w:rsidRPr="00C676E5" w:rsidRDefault="001120CE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C676E5">
              <w:rPr>
                <w:rFonts w:eastAsia="Times New Roman"/>
                <w:sz w:val="20"/>
                <w:szCs w:val="24"/>
              </w:rPr>
              <w:t>Жилье – медикам, нуждающихся в обеспечении жильем</w:t>
            </w:r>
          </w:p>
        </w:tc>
        <w:tc>
          <w:tcPr>
            <w:tcW w:w="434" w:type="pct"/>
            <w:vAlign w:val="center"/>
          </w:tcPr>
          <w:p w:rsidR="001120CE" w:rsidRPr="00C676E5" w:rsidRDefault="001120CE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%</w:t>
            </w:r>
          </w:p>
        </w:tc>
        <w:tc>
          <w:tcPr>
            <w:tcW w:w="1241" w:type="pct"/>
          </w:tcPr>
          <w:p w:rsidR="00F15A25" w:rsidRPr="00C676E5" w:rsidRDefault="00AE505C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Определяется как отношение количества врачей,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(компенсация аренды жилой площади; социальный, специализированный и коммерческий найм жилого помещения) к числу врачей, нуждающихся в обеспечении жильем по состоянию на отчетную дату нарастающим итогом с начала календарного года.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Pr="00C676E5">
              <w:rPr>
                <w:sz w:val="20"/>
                <w:szCs w:val="24"/>
              </w:rPr>
              <w:t>Показатель считается с начала отчётного года нарастающим итогом. Врачи учитываются как обеспеченные и нуждающиеся однократно на протяжении отчётного периода, независимо от вида поддержки.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rFonts w:eastAsia="Times New Roman"/>
                <w:sz w:val="20"/>
                <w:szCs w:val="24"/>
                <w:lang w:eastAsia="ru-RU"/>
              </w:rPr>
              <w:t>Рассчитывается по формуле:</w:t>
            </w:r>
            <w:r w:rsidR="00050449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>Доу=Доб/Дн * 100%,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>где:Доу – доля врачей, обеспеченных жильем, из числа нуждающихся, %;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 xml:space="preserve">Доб – количество </w:t>
            </w:r>
            <w:r w:rsidR="00F15A25" w:rsidRPr="00C676E5">
              <w:rPr>
                <w:sz w:val="20"/>
                <w:szCs w:val="24"/>
              </w:rPr>
              <w:lastRenderedPageBreak/>
              <w:t>врачей, обеспеченных жилыми помещениями (компенсация аренды жилой площади; социальный, специализированный и коммерческий найм жилого помещения) в течение отчетного периода, человек.</w:t>
            </w:r>
            <w:r w:rsidR="00050449" w:rsidRPr="00C676E5">
              <w:rPr>
                <w:sz w:val="20"/>
                <w:szCs w:val="24"/>
              </w:rPr>
              <w:t xml:space="preserve"> </w:t>
            </w:r>
            <w:r w:rsidR="00F15A25" w:rsidRPr="00C676E5">
              <w:rPr>
                <w:sz w:val="20"/>
                <w:szCs w:val="24"/>
              </w:rPr>
              <w:t>Дн – количество врачей, нуждающихся в обеспечении жильем (состоящих на учете на отчетную дату) с начала отчетного года на текущую дату с нарастающим итогом, человек.</w:t>
            </w:r>
          </w:p>
        </w:tc>
        <w:tc>
          <w:tcPr>
            <w:tcW w:w="1155" w:type="pct"/>
            <w:vAlign w:val="center"/>
          </w:tcPr>
          <w:p w:rsidR="001120CE" w:rsidRPr="00C676E5" w:rsidRDefault="00AE505C" w:rsidP="00C676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lastRenderedPageBreak/>
              <w:t xml:space="preserve">Отчёт администрации городского округа Московской области, согласованный </w:t>
            </w:r>
            <w:r w:rsidR="00F15A25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с государственными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учреждениями здравоохранения Московской области</w:t>
            </w:r>
            <w:r w:rsidR="0075311C" w:rsidRPr="00C676E5">
              <w:rPr>
                <w:sz w:val="22"/>
              </w:rPr>
              <w:t xml:space="preserve"> </w:t>
            </w:r>
          </w:p>
        </w:tc>
        <w:tc>
          <w:tcPr>
            <w:tcW w:w="869" w:type="pct"/>
            <w:tcBorders>
              <w:right w:val="single" w:sz="4" w:space="0" w:color="auto"/>
            </w:tcBorders>
            <w:vAlign w:val="center"/>
          </w:tcPr>
          <w:p w:rsidR="001120CE" w:rsidRPr="00C676E5" w:rsidRDefault="001120CE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Ежеквартально</w:t>
            </w:r>
          </w:p>
          <w:p w:rsidR="001120CE" w:rsidRPr="00C676E5" w:rsidRDefault="001120CE" w:rsidP="00C676E5">
            <w:pPr>
              <w:jc w:val="both"/>
              <w:rPr>
                <w:rFonts w:eastAsia="Times New Roman"/>
                <w:sz w:val="20"/>
                <w:szCs w:val="24"/>
                <w:lang w:eastAsia="ru-RU"/>
              </w:rPr>
            </w:pPr>
            <w:r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(Не позднее 3 </w:t>
            </w:r>
            <w:r w:rsidR="00F15A25" w:rsidRPr="00C676E5">
              <w:rPr>
                <w:rFonts w:eastAsia="Times New Roman"/>
                <w:sz w:val="20"/>
                <w:szCs w:val="24"/>
                <w:lang w:eastAsia="ru-RU"/>
              </w:rPr>
              <w:t xml:space="preserve">рабочих дней месяца, следующего за 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отчетным</w:t>
            </w:r>
            <w:r w:rsidR="00AE505C" w:rsidRPr="00C676E5">
              <w:rPr>
                <w:rFonts w:eastAsia="Times New Roman"/>
                <w:sz w:val="20"/>
                <w:szCs w:val="24"/>
                <w:lang w:eastAsia="ru-RU"/>
              </w:rPr>
              <w:t>, предоставляется в регламентный срок, непредставление информации оценивается нулевым значением</w:t>
            </w:r>
            <w:r w:rsidRPr="00C676E5">
              <w:rPr>
                <w:rFonts w:eastAsia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050449" w:rsidRPr="00C676E5" w:rsidRDefault="00050449" w:rsidP="00C676E5">
      <w:pPr>
        <w:jc w:val="center"/>
        <w:rPr>
          <w:sz w:val="20"/>
          <w:szCs w:val="24"/>
        </w:rPr>
      </w:pPr>
    </w:p>
    <w:p w:rsidR="00050449" w:rsidRPr="00C676E5" w:rsidRDefault="00050449" w:rsidP="00C676E5">
      <w:pPr>
        <w:jc w:val="center"/>
        <w:rPr>
          <w:sz w:val="24"/>
          <w:szCs w:val="24"/>
        </w:rPr>
      </w:pPr>
    </w:p>
    <w:p w:rsidR="00C676E5" w:rsidRPr="00C676E5" w:rsidRDefault="00C676E5" w:rsidP="00C676E5">
      <w:pPr>
        <w:jc w:val="center"/>
        <w:rPr>
          <w:sz w:val="24"/>
          <w:szCs w:val="24"/>
        </w:rPr>
        <w:sectPr w:rsidR="00C676E5" w:rsidRPr="00C676E5" w:rsidSect="005E119B">
          <w:pgSz w:w="16838" w:h="11906" w:orient="landscape" w:code="9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C676E5" w:rsidRDefault="00433B7B" w:rsidP="00C676E5">
      <w:pPr>
        <w:jc w:val="center"/>
        <w:rPr>
          <w:sz w:val="24"/>
          <w:szCs w:val="24"/>
        </w:rPr>
      </w:pPr>
      <w:r w:rsidRPr="00C676E5">
        <w:rPr>
          <w:sz w:val="24"/>
          <w:szCs w:val="24"/>
        </w:rPr>
        <w:lastRenderedPageBreak/>
        <w:t>5.</w:t>
      </w:r>
      <w:r w:rsidR="000A3745" w:rsidRPr="00C676E5">
        <w:rPr>
          <w:sz w:val="24"/>
          <w:szCs w:val="24"/>
        </w:rPr>
        <w:t xml:space="preserve"> </w:t>
      </w:r>
      <w:r w:rsidRPr="00C676E5">
        <w:rPr>
          <w:sz w:val="24"/>
          <w:szCs w:val="24"/>
        </w:rPr>
        <w:t>П</w:t>
      </w:r>
      <w:r w:rsidR="000A3745" w:rsidRPr="00C676E5">
        <w:rPr>
          <w:sz w:val="24"/>
          <w:szCs w:val="24"/>
        </w:rPr>
        <w:t xml:space="preserve">еречень мероприятий </w:t>
      </w:r>
      <w:r w:rsidRPr="00C676E5">
        <w:rPr>
          <w:sz w:val="24"/>
          <w:szCs w:val="24"/>
        </w:rPr>
        <w:t xml:space="preserve">муниципальной программы «Здравоохранение» на 2023-2027 годы </w:t>
      </w:r>
    </w:p>
    <w:p w:rsidR="00CF7105" w:rsidRPr="00C676E5" w:rsidRDefault="00CF7105" w:rsidP="00C676E5">
      <w:pPr>
        <w:jc w:val="center"/>
        <w:rPr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810"/>
        <w:gridCol w:w="1133"/>
        <w:gridCol w:w="1134"/>
        <w:gridCol w:w="1276"/>
        <w:gridCol w:w="735"/>
        <w:gridCol w:w="241"/>
        <w:gridCol w:w="44"/>
        <w:gridCol w:w="22"/>
        <w:gridCol w:w="403"/>
        <w:gridCol w:w="21"/>
        <w:gridCol w:w="8"/>
        <w:gridCol w:w="399"/>
        <w:gridCol w:w="25"/>
        <w:gridCol w:w="544"/>
        <w:gridCol w:w="850"/>
        <w:gridCol w:w="994"/>
        <w:gridCol w:w="993"/>
        <w:gridCol w:w="992"/>
        <w:gridCol w:w="2410"/>
      </w:tblGrid>
      <w:tr w:rsidR="00C61702" w:rsidRPr="00C676E5" w:rsidTr="00C676E5">
        <w:trPr>
          <w:trHeight w:val="514"/>
        </w:trPr>
        <w:tc>
          <w:tcPr>
            <w:tcW w:w="562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№ </w:t>
            </w:r>
          </w:p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1810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Мероприятие </w:t>
            </w:r>
          </w:p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подпрограммы</w:t>
            </w:r>
          </w:p>
        </w:tc>
        <w:tc>
          <w:tcPr>
            <w:tcW w:w="1133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6271" w:type="dxa"/>
            <w:gridSpan w:val="14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Объем финансирования по годам (тыс.</w:t>
            </w:r>
            <w:r w:rsidR="004A72A6" w:rsidRPr="00C676E5">
              <w:rPr>
                <w:rFonts w:eastAsia="Times New Roman"/>
                <w:sz w:val="20"/>
                <w:szCs w:val="20"/>
              </w:rPr>
              <w:t xml:space="preserve"> </w:t>
            </w:r>
            <w:r w:rsidRPr="00C676E5">
              <w:rPr>
                <w:rFonts w:eastAsia="Times New Roman"/>
                <w:sz w:val="20"/>
                <w:szCs w:val="20"/>
              </w:rPr>
              <w:t>руб.)</w:t>
            </w:r>
          </w:p>
        </w:tc>
        <w:tc>
          <w:tcPr>
            <w:tcW w:w="2410" w:type="dxa"/>
          </w:tcPr>
          <w:p w:rsidR="0028507A" w:rsidRPr="00C676E5" w:rsidRDefault="0028507A" w:rsidP="00C6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4417E1" w:rsidRPr="00C676E5" w:rsidTr="00C676E5">
        <w:trPr>
          <w:trHeight w:val="1403"/>
        </w:trPr>
        <w:tc>
          <w:tcPr>
            <w:tcW w:w="562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2" w:type="dxa"/>
            <w:gridSpan w:val="10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2023 год </w:t>
            </w:r>
          </w:p>
        </w:tc>
        <w:tc>
          <w:tcPr>
            <w:tcW w:w="85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994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2025 год </w:t>
            </w:r>
          </w:p>
        </w:tc>
        <w:tc>
          <w:tcPr>
            <w:tcW w:w="993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2026 год </w:t>
            </w:r>
          </w:p>
        </w:tc>
        <w:tc>
          <w:tcPr>
            <w:tcW w:w="992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2027 год</w:t>
            </w:r>
          </w:p>
        </w:tc>
        <w:tc>
          <w:tcPr>
            <w:tcW w:w="241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417E1" w:rsidRPr="00C676E5" w:rsidTr="00C676E5">
        <w:trPr>
          <w:trHeight w:val="272"/>
        </w:trPr>
        <w:tc>
          <w:tcPr>
            <w:tcW w:w="562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1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42" w:type="dxa"/>
            <w:gridSpan w:val="10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4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410" w:type="dxa"/>
          </w:tcPr>
          <w:p w:rsidR="0028507A" w:rsidRPr="00C676E5" w:rsidRDefault="0028507A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11</w:t>
            </w:r>
          </w:p>
        </w:tc>
      </w:tr>
      <w:tr w:rsidR="009D14C5" w:rsidRPr="00C676E5" w:rsidTr="00C676E5">
        <w:trPr>
          <w:trHeight w:val="272"/>
        </w:trPr>
        <w:tc>
          <w:tcPr>
            <w:tcW w:w="14596" w:type="dxa"/>
            <w:gridSpan w:val="20"/>
          </w:tcPr>
          <w:p w:rsidR="009D14C5" w:rsidRPr="00C676E5" w:rsidRDefault="009D14C5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Подпрограмма 1 «Профилактика заболеваний и формирование здорового образа жизни. Развитие первичной медико-санитарной помощи»</w:t>
            </w:r>
          </w:p>
        </w:tc>
      </w:tr>
      <w:tr w:rsidR="00D275C2" w:rsidRPr="00C676E5" w:rsidTr="00C676E5">
        <w:trPr>
          <w:trHeight w:val="257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Основное мероприятие 02.</w:t>
            </w:r>
            <w:r w:rsidR="00CF7105">
              <w:rPr>
                <w:sz w:val="20"/>
                <w:szCs w:val="20"/>
              </w:rPr>
              <w:t xml:space="preserve"> </w:t>
            </w:r>
            <w:r w:rsidRPr="00C676E5">
              <w:rPr>
                <w:sz w:val="20"/>
                <w:szCs w:val="20"/>
              </w:rPr>
              <w:t>Развитие первичной медико-санитарной помощи, а также системы раннего выявления заболеваний, патологических состояний и факторов риска их развития, включая проведение медицинских осмотров и диспансеризации населения.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136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11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36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27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317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1.1.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02.01.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 xml:space="preserve">Проведение профилактических медицинских </w:t>
            </w:r>
            <w:r w:rsidRPr="00C676E5">
              <w:rPr>
                <w:sz w:val="20"/>
                <w:szCs w:val="20"/>
              </w:rPr>
              <w:lastRenderedPageBreak/>
              <w:t>осмотров и диспансеризации населения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85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099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47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городского округа Пущино 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47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7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Кол-во граждан, прошедших диспансеризацию ( %) 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</w:t>
            </w:r>
            <w:r w:rsidR="00D275C2" w:rsidRPr="00C676E5">
              <w:rPr>
                <w:rFonts w:eastAsia="Times New Roman"/>
                <w:sz w:val="20"/>
                <w:szCs w:val="20"/>
              </w:rPr>
              <w:t>2023</w:t>
            </w:r>
          </w:p>
          <w:p w:rsidR="00210D78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728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69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29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1.2.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02.02. Информирование застрахованных лиц о видах, качестве и об условиях предоставления им медицинской помощи медицинскими организациями.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7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4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4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C676E5">
              <w:rPr>
                <w:rFonts w:eastAsia="Times New Roman"/>
                <w:sz w:val="20"/>
                <w:szCs w:val="20"/>
              </w:rPr>
              <w:lastRenderedPageBreak/>
              <w:t xml:space="preserve">московской области 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143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5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</w:t>
            </w:r>
            <w:r w:rsidR="00D275C2" w:rsidRPr="00C676E5">
              <w:rPr>
                <w:rFonts w:eastAsia="Times New Roman"/>
                <w:sz w:val="20"/>
                <w:szCs w:val="20"/>
              </w:rPr>
              <w:t>2023</w:t>
            </w:r>
            <w:r w:rsidRPr="00C676E5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210D78" w:rsidRPr="00C676E5" w:rsidRDefault="00210D78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В том числе по кварталам 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5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5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 w:val="restart"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D275C2" w:rsidRPr="00C676E5" w:rsidRDefault="00D275C2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14596" w:type="dxa"/>
            <w:gridSpan w:val="20"/>
          </w:tcPr>
          <w:p w:rsidR="00D275C2" w:rsidRPr="00C676E5" w:rsidRDefault="00D275C2" w:rsidP="00C676E5">
            <w:pPr>
              <w:jc w:val="center"/>
              <w:rPr>
                <w:bCs/>
                <w:sz w:val="20"/>
                <w:szCs w:val="18"/>
              </w:rPr>
            </w:pPr>
            <w:r w:rsidRPr="00C676E5">
              <w:rPr>
                <w:color w:val="000000"/>
                <w:sz w:val="20"/>
                <w:szCs w:val="18"/>
              </w:rPr>
              <w:t xml:space="preserve">Подпрограмма 5. «Финансовое обеспечение </w:t>
            </w:r>
            <w:r w:rsidRPr="00C676E5">
              <w:rPr>
                <w:sz w:val="20"/>
                <w:szCs w:val="18"/>
              </w:rPr>
              <w:t>системы организации медицинской помощи</w:t>
            </w:r>
            <w:r w:rsidRPr="00C676E5">
              <w:rPr>
                <w:bCs/>
                <w:sz w:val="20"/>
                <w:szCs w:val="18"/>
              </w:rPr>
              <w:t>»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18"/>
              </w:rPr>
              <w:t xml:space="preserve">Основное мероприятие 02. Развитие мер социальной поддержки </w:t>
            </w:r>
            <w:r w:rsidRPr="00C676E5">
              <w:rPr>
                <w:sz w:val="20"/>
                <w:szCs w:val="18"/>
              </w:rPr>
              <w:lastRenderedPageBreak/>
              <w:t>медицинских работников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18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02.01.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Стимулирование привлечения медицинских и фармацевтических работников для работы в медицинских организациях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82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  <w:r w:rsidRPr="00C676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497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528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Мероприятие 02.02.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4"/>
              </w:rPr>
              <w:t>Установление медицинским и фармацевтическим работникам медицинских организаций дополнительных гарантий и мер социальной поддержки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0</w:t>
            </w:r>
            <w:r w:rsidRPr="00C676E5">
              <w:rPr>
                <w:sz w:val="20"/>
                <w:szCs w:val="20"/>
              </w:rPr>
              <w:t>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  <w:r w:rsidRPr="00C676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307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307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32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02.03.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Обеспечение мер поддержки молодым специалистам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 xml:space="preserve"> 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</w:t>
            </w:r>
            <w:r w:rsidRPr="00C676E5">
              <w:rPr>
                <w:rFonts w:eastAsia="Times New Roman"/>
                <w:sz w:val="20"/>
                <w:szCs w:val="20"/>
              </w:rPr>
              <w:lastRenderedPageBreak/>
              <w:t>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59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  <w:lang w:val="en-US"/>
              </w:rPr>
            </w:pPr>
            <w:r w:rsidRPr="00C676E5">
              <w:rPr>
                <w:rFonts w:eastAsia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</w:tcPr>
          <w:p w:rsidR="00D275C2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  <w:r w:rsidRPr="00C676E5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9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  <w:r w:rsidRPr="00C676E5">
              <w:rPr>
                <w:sz w:val="20"/>
                <w:szCs w:val="20"/>
              </w:rPr>
              <w:tab/>
            </w:r>
          </w:p>
        </w:tc>
        <w:tc>
          <w:tcPr>
            <w:tcW w:w="241" w:type="dxa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490" w:type="dxa"/>
            <w:gridSpan w:val="4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407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75C2" w:rsidRPr="00C676E5" w:rsidTr="00C676E5">
        <w:trPr>
          <w:trHeight w:val="9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 w:val="restart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ind w:firstLine="255"/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07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75C2" w:rsidRPr="00C676E5" w:rsidTr="00C676E5">
        <w:trPr>
          <w:trHeight w:val="95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46" w:type="dxa"/>
            <w:gridSpan w:val="3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07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tabs>
                <w:tab w:val="center" w:pos="1107"/>
              </w:tabs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4"/>
              </w:rPr>
            </w:pPr>
            <w:r w:rsidRPr="00C676E5">
              <w:rPr>
                <w:sz w:val="20"/>
                <w:szCs w:val="24"/>
              </w:rPr>
              <w:t>Мероприятие 02.04.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Выплата компенсации за аренду жилья врачам и среднему медицинскому персоналу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2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</w:p>
          <w:p w:rsidR="00210D78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2025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2026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2027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28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428" w:type="dxa"/>
            <w:gridSpan w:val="3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569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 w:val="restart"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C676E5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Мероприятие 02.05.</w:t>
            </w:r>
          </w:p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4"/>
              </w:rPr>
              <w:t>Обеспечение жильем нуждающихся из числа привлеченных медицинских работников.</w:t>
            </w: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r w:rsidRPr="00C676E5">
              <w:rPr>
                <w:sz w:val="20"/>
                <w:szCs w:val="20"/>
              </w:rPr>
              <w:t>2023-2027</w:t>
            </w: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ind w:hanging="10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ab/>
              <w:t>Итого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82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городского округа Пущино московской области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764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Результат не предусмотрен</w:t>
            </w:r>
          </w:p>
        </w:tc>
        <w:tc>
          <w:tcPr>
            <w:tcW w:w="1133" w:type="dxa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rFonts w:eastAsia="Times New Roman"/>
                <w:sz w:val="20"/>
                <w:szCs w:val="20"/>
              </w:rPr>
            </w:pPr>
            <w:r w:rsidRPr="00C676E5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Всего:</w:t>
            </w:r>
          </w:p>
          <w:p w:rsidR="00D275C2" w:rsidRPr="00C676E5" w:rsidRDefault="00D275C2" w:rsidP="00C676E5">
            <w:pPr>
              <w:rPr>
                <w:rFonts w:eastAsia="Times New Roman"/>
                <w:sz w:val="20"/>
                <w:szCs w:val="20"/>
              </w:rPr>
            </w:pP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2"/>
                <w:lang w:val="en-US"/>
              </w:rPr>
              <w:t>-</w:t>
            </w:r>
          </w:p>
        </w:tc>
        <w:tc>
          <w:tcPr>
            <w:tcW w:w="735" w:type="dxa"/>
            <w:vMerge w:val="restart"/>
          </w:tcPr>
          <w:p w:rsidR="00D275C2" w:rsidRPr="00C676E5" w:rsidRDefault="00210D78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</w:rPr>
              <w:t>Итого</w:t>
            </w:r>
            <w:r w:rsidR="00D275C2" w:rsidRPr="00C676E5">
              <w:rPr>
                <w:sz w:val="20"/>
                <w:szCs w:val="20"/>
                <w:lang w:val="en-US"/>
              </w:rPr>
              <w:t>2023</w:t>
            </w:r>
          </w:p>
          <w:p w:rsidR="00210D78" w:rsidRPr="00C676E5" w:rsidRDefault="00210D78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год</w:t>
            </w:r>
          </w:p>
        </w:tc>
        <w:tc>
          <w:tcPr>
            <w:tcW w:w="1707" w:type="dxa"/>
            <w:gridSpan w:val="9"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В том числе по кварталам</w:t>
            </w:r>
          </w:p>
        </w:tc>
        <w:tc>
          <w:tcPr>
            <w:tcW w:w="850" w:type="dxa"/>
            <w:vMerge w:val="restart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2024</w:t>
            </w:r>
          </w:p>
          <w:p w:rsidR="00D275C2" w:rsidRPr="00C676E5" w:rsidRDefault="00D275C2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vMerge w:val="restart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2"/>
                <w:lang w:val="en-US"/>
              </w:rPr>
              <w:t>2025</w:t>
            </w:r>
          </w:p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2"/>
              </w:rPr>
              <w:t>-</w:t>
            </w:r>
          </w:p>
        </w:tc>
        <w:tc>
          <w:tcPr>
            <w:tcW w:w="993" w:type="dxa"/>
            <w:vMerge w:val="restart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2"/>
                <w:lang w:val="en-US"/>
              </w:rPr>
              <w:t>2026</w:t>
            </w:r>
          </w:p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2"/>
              </w:rPr>
              <w:t>-</w:t>
            </w:r>
          </w:p>
        </w:tc>
        <w:tc>
          <w:tcPr>
            <w:tcW w:w="992" w:type="dxa"/>
            <w:vMerge w:val="restart"/>
          </w:tcPr>
          <w:p w:rsidR="00D275C2" w:rsidRPr="00C676E5" w:rsidRDefault="00D275C2" w:rsidP="00C676E5">
            <w:pPr>
              <w:rPr>
                <w:sz w:val="22"/>
                <w:lang w:val="en-US"/>
              </w:rPr>
            </w:pPr>
            <w:r w:rsidRPr="00C676E5">
              <w:rPr>
                <w:sz w:val="22"/>
                <w:lang w:val="en-US"/>
              </w:rPr>
              <w:t>2027</w:t>
            </w:r>
          </w:p>
          <w:p w:rsidR="00D275C2" w:rsidRPr="00C676E5" w:rsidRDefault="00D275C2" w:rsidP="00C676E5">
            <w:pPr>
              <w:rPr>
                <w:sz w:val="22"/>
              </w:rPr>
            </w:pPr>
            <w:r w:rsidRPr="00C676E5">
              <w:rPr>
                <w:sz w:val="22"/>
              </w:rPr>
              <w:t>-</w:t>
            </w: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454" w:type="dxa"/>
            <w:gridSpan w:val="4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D275C2" w:rsidRPr="00C676E5" w:rsidTr="00C676E5">
        <w:trPr>
          <w:trHeight w:val="240"/>
        </w:trPr>
        <w:tc>
          <w:tcPr>
            <w:tcW w:w="562" w:type="dxa"/>
            <w:vMerge/>
          </w:tcPr>
          <w:p w:rsidR="00D275C2" w:rsidRPr="00C676E5" w:rsidRDefault="00D275C2" w:rsidP="00C676E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D275C2" w:rsidRPr="00C676E5" w:rsidRDefault="00D275C2" w:rsidP="00C676E5">
            <w:pPr>
              <w:ind w:hanging="10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D275C2" w:rsidRPr="00C676E5" w:rsidRDefault="00D275C2" w:rsidP="00C676E5">
            <w:pPr>
              <w:tabs>
                <w:tab w:val="center" w:pos="17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</w:tcPr>
          <w:p w:rsidR="00D275C2" w:rsidRPr="00C676E5" w:rsidRDefault="00D275C2" w:rsidP="00C676E5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5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54" w:type="dxa"/>
            <w:gridSpan w:val="4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24" w:type="dxa"/>
            <w:gridSpan w:val="2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44" w:type="dxa"/>
          </w:tcPr>
          <w:p w:rsidR="00D275C2" w:rsidRPr="00C676E5" w:rsidRDefault="00D275C2" w:rsidP="00C676E5">
            <w:pPr>
              <w:rPr>
                <w:sz w:val="20"/>
                <w:szCs w:val="20"/>
                <w:lang w:val="en-US"/>
              </w:rPr>
            </w:pPr>
            <w:r w:rsidRPr="00C676E5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275C2" w:rsidRPr="00C676E5" w:rsidRDefault="00D275C2" w:rsidP="00C676E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D275C2" w:rsidRPr="00C676E5" w:rsidRDefault="00D275C2" w:rsidP="00C676E5">
            <w:pPr>
              <w:rPr>
                <w:sz w:val="22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 w:val="restart"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 по подпрограмме:</w:t>
            </w:r>
          </w:p>
        </w:tc>
        <w:tc>
          <w:tcPr>
            <w:tcW w:w="1134" w:type="dxa"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 w:val="restart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  <w:lang w:eastAsia="ru-RU"/>
              </w:rPr>
              <w:t>Отдел экономики администрации городского округа Пущино</w:t>
            </w: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 xml:space="preserve">Средства бюджета городского округа Пущино </w:t>
            </w:r>
            <w:r w:rsidRPr="00C676E5">
              <w:rPr>
                <w:rFonts w:eastAsia="Times New Roman"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  <w:tr w:rsidR="009D14C5" w:rsidRPr="00C676E5" w:rsidTr="00C676E5">
        <w:trPr>
          <w:trHeight w:val="282"/>
        </w:trPr>
        <w:tc>
          <w:tcPr>
            <w:tcW w:w="3505" w:type="dxa"/>
            <w:gridSpan w:val="3"/>
            <w:vMerge/>
          </w:tcPr>
          <w:p w:rsidR="009D14C5" w:rsidRPr="00C676E5" w:rsidRDefault="009D14C5" w:rsidP="00C676E5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14C5" w:rsidRPr="00C676E5" w:rsidRDefault="009D14C5" w:rsidP="00C676E5">
            <w:pPr>
              <w:tabs>
                <w:tab w:val="center" w:pos="175"/>
              </w:tabs>
              <w:rPr>
                <w:sz w:val="20"/>
                <w:szCs w:val="20"/>
              </w:rPr>
            </w:pPr>
            <w:r w:rsidRPr="00C676E5">
              <w:rPr>
                <w:rFonts w:eastAsia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42" w:type="dxa"/>
            <w:gridSpan w:val="10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4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9D14C5" w:rsidRPr="00C676E5" w:rsidRDefault="009D14C5" w:rsidP="00C676E5">
            <w:pPr>
              <w:rPr>
                <w:sz w:val="20"/>
                <w:szCs w:val="20"/>
              </w:rPr>
            </w:pPr>
            <w:r w:rsidRPr="00C676E5">
              <w:rPr>
                <w:sz w:val="20"/>
                <w:szCs w:val="20"/>
              </w:rPr>
              <w:t>0,0</w:t>
            </w:r>
          </w:p>
        </w:tc>
        <w:tc>
          <w:tcPr>
            <w:tcW w:w="2410" w:type="dxa"/>
            <w:vMerge/>
          </w:tcPr>
          <w:p w:rsidR="009D14C5" w:rsidRPr="00C676E5" w:rsidRDefault="009D14C5" w:rsidP="00C676E5">
            <w:pPr>
              <w:jc w:val="center"/>
              <w:rPr>
                <w:color w:val="000000"/>
                <w:sz w:val="20"/>
                <w:szCs w:val="18"/>
              </w:rPr>
            </w:pPr>
          </w:p>
        </w:tc>
      </w:tr>
    </w:tbl>
    <w:p w:rsidR="009D14C5" w:rsidRPr="00C676E5" w:rsidRDefault="009D14C5" w:rsidP="00C676E5">
      <w:pPr>
        <w:tabs>
          <w:tab w:val="left" w:pos="1135"/>
        </w:tabs>
        <w:rPr>
          <w:sz w:val="24"/>
          <w:szCs w:val="24"/>
          <w:lang w:val="en-US"/>
        </w:rPr>
      </w:pPr>
    </w:p>
    <w:sectPr w:rsidR="009D14C5" w:rsidRPr="00C676E5" w:rsidSect="00C676E5"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42A" w:rsidRDefault="00F0042A" w:rsidP="00936B5F">
      <w:r>
        <w:separator/>
      </w:r>
    </w:p>
  </w:endnote>
  <w:endnote w:type="continuationSeparator" w:id="0">
    <w:p w:rsidR="00F0042A" w:rsidRDefault="00F0042A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42A" w:rsidRDefault="00F0042A" w:rsidP="00936B5F">
      <w:r>
        <w:separator/>
      </w:r>
    </w:p>
  </w:footnote>
  <w:footnote w:type="continuationSeparator" w:id="0">
    <w:p w:rsidR="00F0042A" w:rsidRDefault="00F0042A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3F3B"/>
    <w:multiLevelType w:val="hybridMultilevel"/>
    <w:tmpl w:val="5F5A6062"/>
    <w:lvl w:ilvl="0" w:tplc="3EE40D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26E3B"/>
    <w:multiLevelType w:val="hybridMultilevel"/>
    <w:tmpl w:val="C9A2EB5A"/>
    <w:lvl w:ilvl="0" w:tplc="0419000F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410A54"/>
    <w:multiLevelType w:val="hybridMultilevel"/>
    <w:tmpl w:val="943ADE4E"/>
    <w:lvl w:ilvl="0" w:tplc="78B05AD2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7A3"/>
    <w:rsid w:val="00003432"/>
    <w:rsid w:val="000070D1"/>
    <w:rsid w:val="00022D07"/>
    <w:rsid w:val="00026890"/>
    <w:rsid w:val="00032E2B"/>
    <w:rsid w:val="000335BC"/>
    <w:rsid w:val="00033912"/>
    <w:rsid w:val="00034792"/>
    <w:rsid w:val="000379BD"/>
    <w:rsid w:val="00040A02"/>
    <w:rsid w:val="00040C32"/>
    <w:rsid w:val="00042F26"/>
    <w:rsid w:val="00045EFF"/>
    <w:rsid w:val="00045F92"/>
    <w:rsid w:val="00050449"/>
    <w:rsid w:val="00051A9B"/>
    <w:rsid w:val="000527BB"/>
    <w:rsid w:val="000732B6"/>
    <w:rsid w:val="00074CBA"/>
    <w:rsid w:val="00082F42"/>
    <w:rsid w:val="00084470"/>
    <w:rsid w:val="00092854"/>
    <w:rsid w:val="000A3745"/>
    <w:rsid w:val="000A5F51"/>
    <w:rsid w:val="000B2126"/>
    <w:rsid w:val="000B5350"/>
    <w:rsid w:val="000B69D7"/>
    <w:rsid w:val="000C264C"/>
    <w:rsid w:val="000D4F7E"/>
    <w:rsid w:val="000D588F"/>
    <w:rsid w:val="000E1FD6"/>
    <w:rsid w:val="000E4547"/>
    <w:rsid w:val="000E7A9C"/>
    <w:rsid w:val="000F5600"/>
    <w:rsid w:val="000F7CBA"/>
    <w:rsid w:val="00101400"/>
    <w:rsid w:val="00110CAF"/>
    <w:rsid w:val="001120CE"/>
    <w:rsid w:val="0011606A"/>
    <w:rsid w:val="00120BE6"/>
    <w:rsid w:val="00121A69"/>
    <w:rsid w:val="00122384"/>
    <w:rsid w:val="00122784"/>
    <w:rsid w:val="00134CC4"/>
    <w:rsid w:val="001355C5"/>
    <w:rsid w:val="001514F3"/>
    <w:rsid w:val="00151C33"/>
    <w:rsid w:val="0016617A"/>
    <w:rsid w:val="001710C1"/>
    <w:rsid w:val="00171E28"/>
    <w:rsid w:val="001775E8"/>
    <w:rsid w:val="0018014E"/>
    <w:rsid w:val="00181CB3"/>
    <w:rsid w:val="001837A1"/>
    <w:rsid w:val="00184090"/>
    <w:rsid w:val="00193304"/>
    <w:rsid w:val="001A3413"/>
    <w:rsid w:val="001B0EDD"/>
    <w:rsid w:val="001B7BFA"/>
    <w:rsid w:val="001B7DB7"/>
    <w:rsid w:val="001C1C5D"/>
    <w:rsid w:val="001C2CBB"/>
    <w:rsid w:val="001C465B"/>
    <w:rsid w:val="001C5BA7"/>
    <w:rsid w:val="001D1457"/>
    <w:rsid w:val="001D3280"/>
    <w:rsid w:val="001D4C46"/>
    <w:rsid w:val="001D6112"/>
    <w:rsid w:val="001E0B0F"/>
    <w:rsid w:val="001E0B28"/>
    <w:rsid w:val="001E0E9B"/>
    <w:rsid w:val="001E18BA"/>
    <w:rsid w:val="001E1F3D"/>
    <w:rsid w:val="001E45E0"/>
    <w:rsid w:val="001F1005"/>
    <w:rsid w:val="001F2DD5"/>
    <w:rsid w:val="002024DB"/>
    <w:rsid w:val="00205B7B"/>
    <w:rsid w:val="002060D6"/>
    <w:rsid w:val="00206E01"/>
    <w:rsid w:val="00210D78"/>
    <w:rsid w:val="0021577A"/>
    <w:rsid w:val="002208C8"/>
    <w:rsid w:val="00222D65"/>
    <w:rsid w:val="002244FF"/>
    <w:rsid w:val="00224EC7"/>
    <w:rsid w:val="00225EC2"/>
    <w:rsid w:val="002315E2"/>
    <w:rsid w:val="00235CA5"/>
    <w:rsid w:val="002476BA"/>
    <w:rsid w:val="00254557"/>
    <w:rsid w:val="002576CE"/>
    <w:rsid w:val="0026697E"/>
    <w:rsid w:val="00271485"/>
    <w:rsid w:val="00282265"/>
    <w:rsid w:val="00283AAB"/>
    <w:rsid w:val="0028507A"/>
    <w:rsid w:val="00295B06"/>
    <w:rsid w:val="00297D00"/>
    <w:rsid w:val="002A1A0E"/>
    <w:rsid w:val="002A3297"/>
    <w:rsid w:val="002B04DD"/>
    <w:rsid w:val="002B0F39"/>
    <w:rsid w:val="002B107E"/>
    <w:rsid w:val="002B168A"/>
    <w:rsid w:val="002B34DE"/>
    <w:rsid w:val="002B61A1"/>
    <w:rsid w:val="002C03D9"/>
    <w:rsid w:val="002C70FD"/>
    <w:rsid w:val="002D5FC9"/>
    <w:rsid w:val="002E0ECF"/>
    <w:rsid w:val="002E1071"/>
    <w:rsid w:val="002E7AB9"/>
    <w:rsid w:val="002E7BB2"/>
    <w:rsid w:val="002E7C5D"/>
    <w:rsid w:val="002F039A"/>
    <w:rsid w:val="002F0B67"/>
    <w:rsid w:val="00301D02"/>
    <w:rsid w:val="0031420A"/>
    <w:rsid w:val="003142F7"/>
    <w:rsid w:val="00314CC7"/>
    <w:rsid w:val="00315239"/>
    <w:rsid w:val="00315E12"/>
    <w:rsid w:val="003212C0"/>
    <w:rsid w:val="003236DD"/>
    <w:rsid w:val="003315CE"/>
    <w:rsid w:val="00331834"/>
    <w:rsid w:val="00332AC3"/>
    <w:rsid w:val="00334959"/>
    <w:rsid w:val="0035015F"/>
    <w:rsid w:val="003532B0"/>
    <w:rsid w:val="003633C6"/>
    <w:rsid w:val="0037091E"/>
    <w:rsid w:val="00373823"/>
    <w:rsid w:val="00376C97"/>
    <w:rsid w:val="0038570B"/>
    <w:rsid w:val="0038768F"/>
    <w:rsid w:val="003A04C4"/>
    <w:rsid w:val="003A1AF8"/>
    <w:rsid w:val="003B4E41"/>
    <w:rsid w:val="003B597D"/>
    <w:rsid w:val="003C504E"/>
    <w:rsid w:val="003D76C8"/>
    <w:rsid w:val="003E2038"/>
    <w:rsid w:val="003E2662"/>
    <w:rsid w:val="003E7F02"/>
    <w:rsid w:val="003F49B1"/>
    <w:rsid w:val="003F49BD"/>
    <w:rsid w:val="003F5D60"/>
    <w:rsid w:val="0040714F"/>
    <w:rsid w:val="00411BAE"/>
    <w:rsid w:val="004153DF"/>
    <w:rsid w:val="004213A1"/>
    <w:rsid w:val="00426BB7"/>
    <w:rsid w:val="00433B7B"/>
    <w:rsid w:val="00433DC1"/>
    <w:rsid w:val="004408BF"/>
    <w:rsid w:val="004417E1"/>
    <w:rsid w:val="0044756E"/>
    <w:rsid w:val="00450C80"/>
    <w:rsid w:val="004540E3"/>
    <w:rsid w:val="00472FC6"/>
    <w:rsid w:val="00483522"/>
    <w:rsid w:val="00484A07"/>
    <w:rsid w:val="004868D4"/>
    <w:rsid w:val="00487790"/>
    <w:rsid w:val="00492BF6"/>
    <w:rsid w:val="0049454B"/>
    <w:rsid w:val="004A56D0"/>
    <w:rsid w:val="004A72A6"/>
    <w:rsid w:val="004B1783"/>
    <w:rsid w:val="004B50B1"/>
    <w:rsid w:val="004B56CC"/>
    <w:rsid w:val="004B7121"/>
    <w:rsid w:val="004C0497"/>
    <w:rsid w:val="004C686B"/>
    <w:rsid w:val="004D113E"/>
    <w:rsid w:val="004D6F23"/>
    <w:rsid w:val="004D7BC1"/>
    <w:rsid w:val="004E241B"/>
    <w:rsid w:val="004F12E4"/>
    <w:rsid w:val="00501C36"/>
    <w:rsid w:val="0050783C"/>
    <w:rsid w:val="00511BB4"/>
    <w:rsid w:val="0051613A"/>
    <w:rsid w:val="005165EB"/>
    <w:rsid w:val="00522586"/>
    <w:rsid w:val="005434B4"/>
    <w:rsid w:val="00551A17"/>
    <w:rsid w:val="0056164F"/>
    <w:rsid w:val="00562379"/>
    <w:rsid w:val="005631D5"/>
    <w:rsid w:val="00572D77"/>
    <w:rsid w:val="005739B6"/>
    <w:rsid w:val="00574BD4"/>
    <w:rsid w:val="00580089"/>
    <w:rsid w:val="00590F2B"/>
    <w:rsid w:val="005944A7"/>
    <w:rsid w:val="00595736"/>
    <w:rsid w:val="005A29D1"/>
    <w:rsid w:val="005A3079"/>
    <w:rsid w:val="005B1DC6"/>
    <w:rsid w:val="005B2C72"/>
    <w:rsid w:val="005C1176"/>
    <w:rsid w:val="005C1B3D"/>
    <w:rsid w:val="005C3581"/>
    <w:rsid w:val="005D67F3"/>
    <w:rsid w:val="005E119B"/>
    <w:rsid w:val="005E1F95"/>
    <w:rsid w:val="005E4020"/>
    <w:rsid w:val="005F00C6"/>
    <w:rsid w:val="0060651E"/>
    <w:rsid w:val="00614CE5"/>
    <w:rsid w:val="00614F4A"/>
    <w:rsid w:val="0062314D"/>
    <w:rsid w:val="00623685"/>
    <w:rsid w:val="006246DF"/>
    <w:rsid w:val="00624C4E"/>
    <w:rsid w:val="0062592D"/>
    <w:rsid w:val="00626499"/>
    <w:rsid w:val="006322CC"/>
    <w:rsid w:val="00642429"/>
    <w:rsid w:val="0064400E"/>
    <w:rsid w:val="00645636"/>
    <w:rsid w:val="00645A9B"/>
    <w:rsid w:val="00645C79"/>
    <w:rsid w:val="0066652D"/>
    <w:rsid w:val="006712CE"/>
    <w:rsid w:val="00673262"/>
    <w:rsid w:val="00680A66"/>
    <w:rsid w:val="00696C3C"/>
    <w:rsid w:val="006A6D1D"/>
    <w:rsid w:val="006B0E84"/>
    <w:rsid w:val="006B269F"/>
    <w:rsid w:val="006B7B45"/>
    <w:rsid w:val="006C44A0"/>
    <w:rsid w:val="006D09AD"/>
    <w:rsid w:val="006D2924"/>
    <w:rsid w:val="006D735B"/>
    <w:rsid w:val="006D7AC4"/>
    <w:rsid w:val="006E2E52"/>
    <w:rsid w:val="006E77A1"/>
    <w:rsid w:val="006F1B2D"/>
    <w:rsid w:val="006F39D1"/>
    <w:rsid w:val="006F6FBE"/>
    <w:rsid w:val="00702E07"/>
    <w:rsid w:val="0070570D"/>
    <w:rsid w:val="0070675D"/>
    <w:rsid w:val="007156A0"/>
    <w:rsid w:val="007163D9"/>
    <w:rsid w:val="007220EC"/>
    <w:rsid w:val="00722F71"/>
    <w:rsid w:val="00723473"/>
    <w:rsid w:val="007253CA"/>
    <w:rsid w:val="00725D37"/>
    <w:rsid w:val="0072682A"/>
    <w:rsid w:val="007330A4"/>
    <w:rsid w:val="00733DEF"/>
    <w:rsid w:val="00746E88"/>
    <w:rsid w:val="0075311C"/>
    <w:rsid w:val="007535EE"/>
    <w:rsid w:val="007621F2"/>
    <w:rsid w:val="00765211"/>
    <w:rsid w:val="00773FAB"/>
    <w:rsid w:val="00775F49"/>
    <w:rsid w:val="007829BB"/>
    <w:rsid w:val="007855F9"/>
    <w:rsid w:val="0079104C"/>
    <w:rsid w:val="007923E1"/>
    <w:rsid w:val="007B2F38"/>
    <w:rsid w:val="007B3DD6"/>
    <w:rsid w:val="007B7D27"/>
    <w:rsid w:val="007C1BEE"/>
    <w:rsid w:val="007C2B30"/>
    <w:rsid w:val="007C30D8"/>
    <w:rsid w:val="007D1C31"/>
    <w:rsid w:val="007D4734"/>
    <w:rsid w:val="007D51EF"/>
    <w:rsid w:val="007E1821"/>
    <w:rsid w:val="00800E53"/>
    <w:rsid w:val="00806447"/>
    <w:rsid w:val="00810803"/>
    <w:rsid w:val="008129E0"/>
    <w:rsid w:val="00813B6C"/>
    <w:rsid w:val="00830EFB"/>
    <w:rsid w:val="0083731B"/>
    <w:rsid w:val="00857164"/>
    <w:rsid w:val="0085741E"/>
    <w:rsid w:val="00865975"/>
    <w:rsid w:val="00866EB7"/>
    <w:rsid w:val="00867748"/>
    <w:rsid w:val="008728A1"/>
    <w:rsid w:val="00873C8E"/>
    <w:rsid w:val="008765EE"/>
    <w:rsid w:val="0088161D"/>
    <w:rsid w:val="00882550"/>
    <w:rsid w:val="00883B84"/>
    <w:rsid w:val="008905B1"/>
    <w:rsid w:val="0089591F"/>
    <w:rsid w:val="008B3E8D"/>
    <w:rsid w:val="008B6B19"/>
    <w:rsid w:val="008C15CF"/>
    <w:rsid w:val="008C19E9"/>
    <w:rsid w:val="008C68B8"/>
    <w:rsid w:val="008C6A05"/>
    <w:rsid w:val="008D0B97"/>
    <w:rsid w:val="008D27B1"/>
    <w:rsid w:val="008D328B"/>
    <w:rsid w:val="008D39C3"/>
    <w:rsid w:val="008D69FA"/>
    <w:rsid w:val="008D71CE"/>
    <w:rsid w:val="008E0F68"/>
    <w:rsid w:val="008E4C44"/>
    <w:rsid w:val="008F256B"/>
    <w:rsid w:val="009078AE"/>
    <w:rsid w:val="00912CD8"/>
    <w:rsid w:val="009159CA"/>
    <w:rsid w:val="00915B4A"/>
    <w:rsid w:val="00917C8B"/>
    <w:rsid w:val="00923BFE"/>
    <w:rsid w:val="00923C1F"/>
    <w:rsid w:val="00923E7D"/>
    <w:rsid w:val="00925EF9"/>
    <w:rsid w:val="00926B4F"/>
    <w:rsid w:val="00936B5F"/>
    <w:rsid w:val="0094174C"/>
    <w:rsid w:val="009532C5"/>
    <w:rsid w:val="00970C15"/>
    <w:rsid w:val="0097431F"/>
    <w:rsid w:val="00974BB2"/>
    <w:rsid w:val="009767DD"/>
    <w:rsid w:val="009777A1"/>
    <w:rsid w:val="00980211"/>
    <w:rsid w:val="00990FC9"/>
    <w:rsid w:val="00991C5A"/>
    <w:rsid w:val="00992B93"/>
    <w:rsid w:val="00995727"/>
    <w:rsid w:val="009B7055"/>
    <w:rsid w:val="009C21DB"/>
    <w:rsid w:val="009C7F41"/>
    <w:rsid w:val="009D14C5"/>
    <w:rsid w:val="009D3AD3"/>
    <w:rsid w:val="009E1CFF"/>
    <w:rsid w:val="009E242C"/>
    <w:rsid w:val="009E2879"/>
    <w:rsid w:val="009E37ED"/>
    <w:rsid w:val="009F532C"/>
    <w:rsid w:val="00A02774"/>
    <w:rsid w:val="00A040AD"/>
    <w:rsid w:val="00A05ECB"/>
    <w:rsid w:val="00A06831"/>
    <w:rsid w:val="00A11D2B"/>
    <w:rsid w:val="00A15811"/>
    <w:rsid w:val="00A159C9"/>
    <w:rsid w:val="00A15E6A"/>
    <w:rsid w:val="00A218CC"/>
    <w:rsid w:val="00A22889"/>
    <w:rsid w:val="00A37AA4"/>
    <w:rsid w:val="00A4157B"/>
    <w:rsid w:val="00A4380F"/>
    <w:rsid w:val="00A4462E"/>
    <w:rsid w:val="00A474CE"/>
    <w:rsid w:val="00A505C9"/>
    <w:rsid w:val="00A52720"/>
    <w:rsid w:val="00A52767"/>
    <w:rsid w:val="00A621F6"/>
    <w:rsid w:val="00A62BBC"/>
    <w:rsid w:val="00A649A0"/>
    <w:rsid w:val="00A67724"/>
    <w:rsid w:val="00A92CB6"/>
    <w:rsid w:val="00A95B9C"/>
    <w:rsid w:val="00AA21C4"/>
    <w:rsid w:val="00AB0818"/>
    <w:rsid w:val="00AB4410"/>
    <w:rsid w:val="00AB70A2"/>
    <w:rsid w:val="00AC2804"/>
    <w:rsid w:val="00AC43C3"/>
    <w:rsid w:val="00AD2EB4"/>
    <w:rsid w:val="00AD37FA"/>
    <w:rsid w:val="00AE505C"/>
    <w:rsid w:val="00AE7969"/>
    <w:rsid w:val="00AF1561"/>
    <w:rsid w:val="00AF5236"/>
    <w:rsid w:val="00B05C1F"/>
    <w:rsid w:val="00B07C36"/>
    <w:rsid w:val="00B122D5"/>
    <w:rsid w:val="00B13153"/>
    <w:rsid w:val="00B170D8"/>
    <w:rsid w:val="00B2522B"/>
    <w:rsid w:val="00B3097F"/>
    <w:rsid w:val="00B317CF"/>
    <w:rsid w:val="00B35281"/>
    <w:rsid w:val="00B376E8"/>
    <w:rsid w:val="00B3795E"/>
    <w:rsid w:val="00B46D0F"/>
    <w:rsid w:val="00B47719"/>
    <w:rsid w:val="00B50370"/>
    <w:rsid w:val="00B50571"/>
    <w:rsid w:val="00B5460B"/>
    <w:rsid w:val="00B576FC"/>
    <w:rsid w:val="00B6738D"/>
    <w:rsid w:val="00B72369"/>
    <w:rsid w:val="00B84ECE"/>
    <w:rsid w:val="00B9638C"/>
    <w:rsid w:val="00BA4DEF"/>
    <w:rsid w:val="00BA61EF"/>
    <w:rsid w:val="00BB7D18"/>
    <w:rsid w:val="00BC08EC"/>
    <w:rsid w:val="00BC2F4F"/>
    <w:rsid w:val="00BD43D6"/>
    <w:rsid w:val="00BE2D07"/>
    <w:rsid w:val="00BE53F4"/>
    <w:rsid w:val="00C00EDD"/>
    <w:rsid w:val="00C011F9"/>
    <w:rsid w:val="00C015A9"/>
    <w:rsid w:val="00C0223F"/>
    <w:rsid w:val="00C14109"/>
    <w:rsid w:val="00C14FD3"/>
    <w:rsid w:val="00C174A4"/>
    <w:rsid w:val="00C17D00"/>
    <w:rsid w:val="00C20309"/>
    <w:rsid w:val="00C232A3"/>
    <w:rsid w:val="00C42F3C"/>
    <w:rsid w:val="00C469A7"/>
    <w:rsid w:val="00C60B40"/>
    <w:rsid w:val="00C61702"/>
    <w:rsid w:val="00C6237E"/>
    <w:rsid w:val="00C6263E"/>
    <w:rsid w:val="00C638FB"/>
    <w:rsid w:val="00C67049"/>
    <w:rsid w:val="00C6706F"/>
    <w:rsid w:val="00C676E5"/>
    <w:rsid w:val="00C677C5"/>
    <w:rsid w:val="00C70E0B"/>
    <w:rsid w:val="00C73BE6"/>
    <w:rsid w:val="00C77596"/>
    <w:rsid w:val="00C8140B"/>
    <w:rsid w:val="00C84310"/>
    <w:rsid w:val="00C97DA1"/>
    <w:rsid w:val="00CA6160"/>
    <w:rsid w:val="00CB3293"/>
    <w:rsid w:val="00CB75B0"/>
    <w:rsid w:val="00CC1814"/>
    <w:rsid w:val="00CC26AD"/>
    <w:rsid w:val="00CD3287"/>
    <w:rsid w:val="00CD6F2B"/>
    <w:rsid w:val="00CE235B"/>
    <w:rsid w:val="00CE37E4"/>
    <w:rsid w:val="00CF024B"/>
    <w:rsid w:val="00CF0E6D"/>
    <w:rsid w:val="00CF1FA2"/>
    <w:rsid w:val="00CF7105"/>
    <w:rsid w:val="00CF7789"/>
    <w:rsid w:val="00D2156B"/>
    <w:rsid w:val="00D22281"/>
    <w:rsid w:val="00D233CB"/>
    <w:rsid w:val="00D24B51"/>
    <w:rsid w:val="00D25CB8"/>
    <w:rsid w:val="00D25CFC"/>
    <w:rsid w:val="00D26049"/>
    <w:rsid w:val="00D275C2"/>
    <w:rsid w:val="00D3046B"/>
    <w:rsid w:val="00D30AB8"/>
    <w:rsid w:val="00D43C69"/>
    <w:rsid w:val="00D47172"/>
    <w:rsid w:val="00D4733F"/>
    <w:rsid w:val="00D51EA7"/>
    <w:rsid w:val="00D54219"/>
    <w:rsid w:val="00D5726E"/>
    <w:rsid w:val="00D72F75"/>
    <w:rsid w:val="00D73332"/>
    <w:rsid w:val="00D87DAB"/>
    <w:rsid w:val="00D92929"/>
    <w:rsid w:val="00D97AF8"/>
    <w:rsid w:val="00DA2043"/>
    <w:rsid w:val="00DA47B1"/>
    <w:rsid w:val="00DB451F"/>
    <w:rsid w:val="00DB621F"/>
    <w:rsid w:val="00DB7B00"/>
    <w:rsid w:val="00DC2160"/>
    <w:rsid w:val="00DC3A67"/>
    <w:rsid w:val="00DC43EA"/>
    <w:rsid w:val="00DD21D1"/>
    <w:rsid w:val="00DD36D6"/>
    <w:rsid w:val="00DE1FBF"/>
    <w:rsid w:val="00DE2955"/>
    <w:rsid w:val="00DF3B40"/>
    <w:rsid w:val="00E0023F"/>
    <w:rsid w:val="00E05032"/>
    <w:rsid w:val="00E05C19"/>
    <w:rsid w:val="00E07436"/>
    <w:rsid w:val="00E10E4B"/>
    <w:rsid w:val="00E12D59"/>
    <w:rsid w:val="00E12F7F"/>
    <w:rsid w:val="00E22D38"/>
    <w:rsid w:val="00E31B66"/>
    <w:rsid w:val="00E4216A"/>
    <w:rsid w:val="00E42303"/>
    <w:rsid w:val="00E602C7"/>
    <w:rsid w:val="00E648E1"/>
    <w:rsid w:val="00E64EF0"/>
    <w:rsid w:val="00E661D7"/>
    <w:rsid w:val="00E80CF5"/>
    <w:rsid w:val="00E8148F"/>
    <w:rsid w:val="00E83BF0"/>
    <w:rsid w:val="00E93719"/>
    <w:rsid w:val="00EA2D0F"/>
    <w:rsid w:val="00EB38E8"/>
    <w:rsid w:val="00EB3EA0"/>
    <w:rsid w:val="00EB438D"/>
    <w:rsid w:val="00EB49F1"/>
    <w:rsid w:val="00EB4A03"/>
    <w:rsid w:val="00EC316F"/>
    <w:rsid w:val="00EC3AA7"/>
    <w:rsid w:val="00EC5514"/>
    <w:rsid w:val="00EC5E03"/>
    <w:rsid w:val="00ED2033"/>
    <w:rsid w:val="00EE2BF3"/>
    <w:rsid w:val="00EE2E82"/>
    <w:rsid w:val="00EE2F7A"/>
    <w:rsid w:val="00EE5A4F"/>
    <w:rsid w:val="00EE6C4E"/>
    <w:rsid w:val="00EF7E3C"/>
    <w:rsid w:val="00F0042A"/>
    <w:rsid w:val="00F11416"/>
    <w:rsid w:val="00F1529A"/>
    <w:rsid w:val="00F15A25"/>
    <w:rsid w:val="00F2132D"/>
    <w:rsid w:val="00F24356"/>
    <w:rsid w:val="00F26431"/>
    <w:rsid w:val="00F3072C"/>
    <w:rsid w:val="00F31728"/>
    <w:rsid w:val="00F335DA"/>
    <w:rsid w:val="00F351A0"/>
    <w:rsid w:val="00F4074A"/>
    <w:rsid w:val="00F43CCE"/>
    <w:rsid w:val="00F547D8"/>
    <w:rsid w:val="00F56D6F"/>
    <w:rsid w:val="00F61E24"/>
    <w:rsid w:val="00F637AB"/>
    <w:rsid w:val="00F65891"/>
    <w:rsid w:val="00F65B00"/>
    <w:rsid w:val="00F736C5"/>
    <w:rsid w:val="00F77BD2"/>
    <w:rsid w:val="00F8503E"/>
    <w:rsid w:val="00F857AE"/>
    <w:rsid w:val="00F9434C"/>
    <w:rsid w:val="00FA2184"/>
    <w:rsid w:val="00FA301C"/>
    <w:rsid w:val="00FA3981"/>
    <w:rsid w:val="00FA502A"/>
    <w:rsid w:val="00FC506C"/>
    <w:rsid w:val="00FC68B0"/>
    <w:rsid w:val="00FD5FE3"/>
    <w:rsid w:val="00FE1C8E"/>
    <w:rsid w:val="00FE3AF5"/>
    <w:rsid w:val="00FE43DF"/>
    <w:rsid w:val="00FE466A"/>
    <w:rsid w:val="00FE4B8B"/>
    <w:rsid w:val="00FF235E"/>
    <w:rsid w:val="00FF4AC1"/>
    <w:rsid w:val="00FF571E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714A"/>
  <w15:docId w15:val="{F74A11D4-85B5-4E94-AB23-E194BB07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09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26A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3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645A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645A9B"/>
    <w:rPr>
      <w:rFonts w:ascii="Tahoma" w:hAnsi="Tahoma" w:cs="Tahoma"/>
      <w:sz w:val="16"/>
      <w:szCs w:val="16"/>
    </w:rPr>
  </w:style>
  <w:style w:type="paragraph" w:styleId="af">
    <w:name w:val="List Paragraph"/>
    <w:aliases w:val="Маркер"/>
    <w:basedOn w:val="a"/>
    <w:uiPriority w:val="34"/>
    <w:qFormat/>
    <w:rsid w:val="00314CC7"/>
    <w:pPr>
      <w:ind w:left="720"/>
      <w:contextualSpacing/>
    </w:pPr>
    <w:rPr>
      <w:sz w:val="24"/>
    </w:rPr>
  </w:style>
  <w:style w:type="character" w:customStyle="1" w:styleId="ConsPlusNormal0">
    <w:name w:val="ConsPlusNormal Знак"/>
    <w:link w:val="ConsPlusNormal"/>
    <w:locked/>
    <w:rsid w:val="00EB4A03"/>
    <w:rPr>
      <w:rFonts w:eastAsia="Times New Roman" w:cs="Calibri"/>
      <w:sz w:val="22"/>
    </w:rPr>
  </w:style>
  <w:style w:type="paragraph" w:styleId="af0">
    <w:name w:val="No Spacing"/>
    <w:uiPriority w:val="1"/>
    <w:qFormat/>
    <w:rsid w:val="009E37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">
    <w:name w:val="Normal Знак"/>
    <w:link w:val="2"/>
    <w:locked/>
    <w:rsid w:val="007C2B30"/>
    <w:rPr>
      <w:rFonts w:ascii="Times New Roman" w:eastAsia="Times New Roman" w:hAnsi="Times New Roman"/>
    </w:rPr>
  </w:style>
  <w:style w:type="paragraph" w:customStyle="1" w:styleId="2">
    <w:name w:val="Обычный2"/>
    <w:link w:val="Normal"/>
    <w:rsid w:val="007C2B30"/>
    <w:rPr>
      <w:rFonts w:ascii="Times New Roman" w:eastAsia="Times New Roman" w:hAnsi="Times New Roman"/>
    </w:rPr>
  </w:style>
  <w:style w:type="table" w:styleId="20">
    <w:name w:val="Plain Table 2"/>
    <w:basedOn w:val="a1"/>
    <w:uiPriority w:val="42"/>
    <w:rsid w:val="00C011F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C011F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1">
    <w:name w:val="Grid Table Light"/>
    <w:basedOn w:val="a1"/>
    <w:uiPriority w:val="40"/>
    <w:rsid w:val="00C011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2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F5D7AF-4FB4-4C20-85A9-F09316AE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19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24400</CharactersWithSpaces>
  <SharedDoc>false</SharedDoc>
  <HLinks>
    <vt:vector size="12" baseType="variant">
      <vt:variant>
        <vt:i4>7012449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consultantplus://offline/ref=C5F57806D4652F9C0C7433B6229D4F803BDB9FBB3F1812110106D1DF45C84FAAADFD5A4FACABCBE44A2545E56945EB3D72E37D2ED614400E50Q2H</vt:lpwstr>
      </vt:variant>
      <vt:variant>
        <vt:lpwstr/>
      </vt:variant>
      <vt:variant>
        <vt:i4>7012406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consultantplus://offline/ref=C5F57806D4652F9C0C7433B6229D4F803BDB9FBB3F1812110106D1DF45C84FAAADFD5A4FACABCAED4E2545E56945EB3D72E37D2ED614400E50Q2H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exif_MSED_a78184a0d208593eecf3a0b7e789c9e773b3b6c2afe3eff2ea95adf59adceb77</dc:description>
  <cp:lastModifiedBy>Администрация</cp:lastModifiedBy>
  <cp:revision>10</cp:revision>
  <cp:lastPrinted>2023-01-19T13:53:00Z</cp:lastPrinted>
  <dcterms:created xsi:type="dcterms:W3CDTF">2023-01-17T08:56:00Z</dcterms:created>
  <dcterms:modified xsi:type="dcterms:W3CDTF">2023-01-23T10:08:00Z</dcterms:modified>
</cp:coreProperties>
</file>